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3" w:rsidRPr="00254903" w:rsidRDefault="00254903" w:rsidP="007F40FF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4903">
        <w:rPr>
          <w:rFonts w:ascii="Times New Roman" w:eastAsia="Times New Roman" w:hAnsi="Times New Roman" w:cs="Times New Roman"/>
          <w:b/>
          <w:sz w:val="32"/>
          <w:szCs w:val="32"/>
        </w:rPr>
        <w:t>О Т Ч Е Т</w:t>
      </w:r>
    </w:p>
    <w:p w:rsidR="00254903" w:rsidRPr="004F223E" w:rsidRDefault="00254903" w:rsidP="007F40FF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903" w:rsidRDefault="00254903" w:rsidP="007F40FF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3E">
        <w:rPr>
          <w:rFonts w:ascii="Times New Roman" w:eastAsia="Times New Roman" w:hAnsi="Times New Roman" w:cs="Times New Roman"/>
          <w:b/>
          <w:sz w:val="28"/>
          <w:szCs w:val="28"/>
        </w:rPr>
        <w:t>за дейността на Медицински колеж</w:t>
      </w:r>
    </w:p>
    <w:p w:rsidR="00254903" w:rsidRDefault="00254903" w:rsidP="007F40FF">
      <w:pPr>
        <w:spacing w:after="0" w:line="36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22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 </w:t>
      </w:r>
      <w:r w:rsidR="00716C6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периода </w:t>
      </w:r>
      <w:r w:rsidR="00716C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>януари 0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 xml:space="preserve"> – 3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9371E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371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716C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22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EE563F" w:rsidRPr="00AB1FE1" w:rsidRDefault="00EE563F" w:rsidP="007F40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63F" w:rsidRDefault="00E66222" w:rsidP="003D45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r w:rsidR="00EE563F">
        <w:rPr>
          <w:rFonts w:ascii="Times New Roman" w:eastAsia="Times New Roman" w:hAnsi="Times New Roman" w:cs="Times New Roman"/>
          <w:b/>
          <w:sz w:val="28"/>
          <w:szCs w:val="28"/>
        </w:rPr>
        <w:t>Въведение.</w:t>
      </w:r>
      <w:r w:rsidR="003D45FE">
        <w:rPr>
          <w:rFonts w:ascii="Times New Roman" w:eastAsia="Times New Roman" w:hAnsi="Times New Roman" w:cs="Times New Roman"/>
          <w:b/>
          <w:sz w:val="28"/>
          <w:szCs w:val="28"/>
        </w:rPr>
        <w:t xml:space="preserve"> Уважаеми г-н Ректор, преподаватели, служители и студенти, </w:t>
      </w:r>
    </w:p>
    <w:p w:rsidR="003D45FE" w:rsidRPr="00E30C61" w:rsidRDefault="003D45FE" w:rsidP="00E30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61">
        <w:rPr>
          <w:rFonts w:ascii="Times New Roman" w:eastAsia="Times New Roman" w:hAnsi="Times New Roman" w:cs="Times New Roman"/>
          <w:sz w:val="28"/>
          <w:szCs w:val="28"/>
        </w:rPr>
        <w:t>На вашето внимание ще представя Отчет за дейността на Медицински колеж за периода</w:t>
      </w:r>
      <w:r w:rsidR="00D645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 xml:space="preserve"> – 3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64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D64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4509" w:rsidRPr="004F22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C61" w:rsidRPr="00E30C61">
        <w:rPr>
          <w:rFonts w:ascii="Times New Roman" w:eastAsia="Times New Roman" w:hAnsi="Times New Roman" w:cs="Times New Roman"/>
          <w:sz w:val="28"/>
          <w:szCs w:val="28"/>
        </w:rPr>
        <w:t xml:space="preserve"> Смятам за важно </w:t>
      </w:r>
      <w:r w:rsidR="00E30C61">
        <w:rPr>
          <w:rFonts w:ascii="Times New Roman" w:eastAsia="Times New Roman" w:hAnsi="Times New Roman" w:cs="Times New Roman"/>
          <w:sz w:val="28"/>
          <w:szCs w:val="28"/>
        </w:rPr>
        <w:t>периодичното анализиране и отчитане на дейността, което да даде възможност от една страна да се отчетат положителните резултати и добрите практики, а от друга –за  отстраняване на евентуални  пропуски за по-доброто и оптимално функциониране на Медцинския колеж в унивеситетската структура.</w:t>
      </w:r>
    </w:p>
    <w:p w:rsidR="00254903" w:rsidRPr="004F223E" w:rsidRDefault="00254903" w:rsidP="007F4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222" w:rsidRPr="00E66222" w:rsidRDefault="00E66222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222">
        <w:rPr>
          <w:rFonts w:ascii="Times New Roman" w:eastAsia="Times New Roman" w:hAnsi="Times New Roman" w:cs="Times New Roman"/>
          <w:b/>
          <w:sz w:val="28"/>
          <w:szCs w:val="28"/>
        </w:rPr>
        <w:t>ІІ. Структура и управление на МК.</w:t>
      </w:r>
    </w:p>
    <w:p w:rsidR="00E66222" w:rsidRPr="00E66222" w:rsidRDefault="00E66222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222">
        <w:rPr>
          <w:rFonts w:ascii="Times New Roman" w:eastAsia="Times New Roman" w:hAnsi="Times New Roman" w:cs="Times New Roman"/>
          <w:b/>
          <w:sz w:val="28"/>
          <w:szCs w:val="28"/>
        </w:rPr>
        <w:t>Актуалност, регламентираност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функционалност.</w:t>
      </w:r>
    </w:p>
    <w:p w:rsidR="00E66222" w:rsidRPr="00E66222" w:rsidRDefault="00E66222" w:rsidP="007F4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Структурата на Колежа</w:t>
      </w:r>
      <w:r w:rsidRPr="00E66222">
        <w:rPr>
          <w:rFonts w:ascii="Times New Roman" w:eastAsia="Times New Roman" w:hAnsi="Times New Roman" w:cs="Times New Roman"/>
          <w:sz w:val="28"/>
          <w:szCs w:val="28"/>
        </w:rPr>
        <w:t xml:space="preserve"> е съобразена с изискванията на  закона за висшето образование и правилника на Тр.У.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Последната </w:t>
      </w:r>
      <w:r w:rsidR="00A20767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 регламент</w:t>
      </w:r>
      <w:r w:rsidR="00AC083A">
        <w:rPr>
          <w:rFonts w:ascii="Times New Roman" w:eastAsia="Times New Roman" w:hAnsi="Times New Roman" w:cs="Times New Roman"/>
          <w:sz w:val="28"/>
          <w:szCs w:val="28"/>
        </w:rPr>
        <w:t>ирана и приета с актуализирания</w:t>
      </w:r>
      <w:r w:rsidR="00A20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A207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устройство, организация и дейност на Медицински колеж от септември 2015 г. О</w:t>
      </w:r>
      <w:r w:rsidRPr="00E66222"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E6622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 управление на колежа са</w:t>
      </w:r>
      <w:r w:rsidRPr="00E66222">
        <w:rPr>
          <w:rFonts w:ascii="Times New Roman" w:eastAsia="Times New Roman" w:hAnsi="Times New Roman" w:cs="Times New Roman"/>
          <w:sz w:val="28"/>
          <w:szCs w:val="28"/>
        </w:rPr>
        <w:t xml:space="preserve">  Общото събрание, Съветът на колежа и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на колежа</w:t>
      </w:r>
      <w:r w:rsidRPr="00E66222">
        <w:rPr>
          <w:rFonts w:ascii="Times New Roman" w:eastAsia="Times New Roman" w:hAnsi="Times New Roman" w:cs="Times New Roman"/>
          <w:sz w:val="28"/>
          <w:szCs w:val="28"/>
        </w:rPr>
        <w:t xml:space="preserve">, който е хабилитирано в съответната научна област лице. </w:t>
      </w:r>
      <w:r w:rsidR="000636AA">
        <w:rPr>
          <w:rFonts w:ascii="Times New Roman" w:eastAsia="Times New Roman" w:hAnsi="Times New Roman" w:cs="Times New Roman"/>
          <w:sz w:val="28"/>
          <w:szCs w:val="28"/>
        </w:rPr>
        <w:t>В Колежа функционира една катедра „Здравни грижи“.</w:t>
      </w:r>
      <w:r w:rsidR="00A37D5D">
        <w:rPr>
          <w:rFonts w:ascii="Times New Roman" w:eastAsia="Times New Roman" w:hAnsi="Times New Roman" w:cs="Times New Roman"/>
          <w:sz w:val="28"/>
          <w:szCs w:val="28"/>
        </w:rPr>
        <w:t xml:space="preserve"> За отчетния период са проведени </w:t>
      </w:r>
      <w:r w:rsidR="003A3517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="00A37D5D">
        <w:rPr>
          <w:rFonts w:ascii="Times New Roman" w:eastAsia="Times New Roman" w:hAnsi="Times New Roman" w:cs="Times New Roman"/>
          <w:sz w:val="28"/>
          <w:szCs w:val="28"/>
        </w:rPr>
        <w:t xml:space="preserve"> засед</w:t>
      </w:r>
      <w:r w:rsidR="007E6F01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A37D5D">
        <w:rPr>
          <w:rFonts w:ascii="Times New Roman" w:eastAsia="Times New Roman" w:hAnsi="Times New Roman" w:cs="Times New Roman"/>
          <w:sz w:val="28"/>
          <w:szCs w:val="28"/>
        </w:rPr>
        <w:t>ия на Съвета на колежа.</w:t>
      </w:r>
    </w:p>
    <w:p w:rsidR="003E0D54" w:rsidRDefault="003E0D54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0F" w:rsidRPr="0030780F" w:rsidRDefault="0030780F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0F">
        <w:rPr>
          <w:rFonts w:ascii="Times New Roman" w:eastAsia="Times New Roman" w:hAnsi="Times New Roman" w:cs="Times New Roman"/>
          <w:b/>
          <w:sz w:val="28"/>
          <w:szCs w:val="28"/>
        </w:rPr>
        <w:t>ІІІ. Академичен състав</w:t>
      </w:r>
      <w:r w:rsidR="00D25F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атестация</w:t>
      </w:r>
      <w:r w:rsidRPr="003078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780F" w:rsidRPr="0030780F" w:rsidRDefault="0030780F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0F">
        <w:rPr>
          <w:rFonts w:ascii="Times New Roman" w:eastAsia="Times New Roman" w:hAnsi="Times New Roman" w:cs="Times New Roman"/>
          <w:b/>
          <w:sz w:val="28"/>
          <w:szCs w:val="28"/>
        </w:rPr>
        <w:t>Мотивиране, привличане и назначаване на хабилитирани и нехабилитирани преподаватели на основен трудов договор</w:t>
      </w:r>
    </w:p>
    <w:p w:rsidR="0090737D" w:rsidRDefault="00F4560B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</w:t>
      </w:r>
      <w:r w:rsidR="0030780F" w:rsidRPr="0030780F">
        <w:rPr>
          <w:rFonts w:ascii="Times New Roman" w:eastAsia="Times New Roman" w:hAnsi="Times New Roman" w:cs="Times New Roman"/>
          <w:sz w:val="28"/>
          <w:szCs w:val="24"/>
        </w:rPr>
        <w:t xml:space="preserve"> колежа на трудов договор са </w:t>
      </w:r>
      <w:r w:rsidR="00FD2A8A">
        <w:rPr>
          <w:rFonts w:ascii="Times New Roman" w:eastAsia="Times New Roman" w:hAnsi="Times New Roman" w:cs="Times New Roman"/>
          <w:sz w:val="28"/>
          <w:szCs w:val="24"/>
        </w:rPr>
        <w:t>четирина</w:t>
      </w:r>
      <w:r w:rsidR="0030780F" w:rsidRPr="0030780F">
        <w:rPr>
          <w:rFonts w:ascii="Times New Roman" w:eastAsia="Times New Roman" w:hAnsi="Times New Roman" w:cs="Times New Roman"/>
          <w:sz w:val="28"/>
          <w:szCs w:val="24"/>
        </w:rPr>
        <w:t>десе</w:t>
      </w:r>
      <w:r w:rsidR="00E5445C">
        <w:rPr>
          <w:rFonts w:ascii="Times New Roman" w:eastAsia="Times New Roman" w:hAnsi="Times New Roman" w:cs="Times New Roman"/>
          <w:sz w:val="28"/>
          <w:szCs w:val="24"/>
        </w:rPr>
        <w:t xml:space="preserve">т преподаватели, от които двама хабилитирани  - професори. </w:t>
      </w:r>
      <w:r w:rsidR="00F45663">
        <w:rPr>
          <w:rFonts w:ascii="Times New Roman" w:eastAsia="Times New Roman" w:hAnsi="Times New Roman" w:cs="Times New Roman"/>
          <w:sz w:val="28"/>
          <w:szCs w:val="24"/>
        </w:rPr>
        <w:t>За 201</w:t>
      </w:r>
      <w:r w:rsidR="00F45663">
        <w:rPr>
          <w:rFonts w:ascii="Times New Roman" w:eastAsia="Times New Roman" w:hAnsi="Times New Roman" w:cs="Times New Roman"/>
          <w:sz w:val="28"/>
          <w:szCs w:val="24"/>
          <w:lang w:val="en-US"/>
        </w:rPr>
        <w:t>7</w:t>
      </w:r>
      <w:r w:rsidR="00EC3ABB">
        <w:rPr>
          <w:rFonts w:ascii="Times New Roman" w:eastAsia="Times New Roman" w:hAnsi="Times New Roman" w:cs="Times New Roman"/>
          <w:sz w:val="28"/>
          <w:szCs w:val="24"/>
        </w:rPr>
        <w:t xml:space="preserve"> година</w:t>
      </w:r>
      <w:r w:rsidR="00E710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3ABB">
        <w:rPr>
          <w:rFonts w:ascii="Times New Roman" w:eastAsia="Times New Roman" w:hAnsi="Times New Roman" w:cs="Times New Roman"/>
          <w:sz w:val="28"/>
          <w:szCs w:val="24"/>
        </w:rPr>
        <w:t xml:space="preserve">е назначен 1 преподавател </w:t>
      </w:r>
      <w:r w:rsidR="0025605A">
        <w:rPr>
          <w:rFonts w:ascii="Times New Roman" w:eastAsia="Times New Roman" w:hAnsi="Times New Roman" w:cs="Times New Roman"/>
          <w:sz w:val="28"/>
          <w:szCs w:val="24"/>
        </w:rPr>
        <w:t xml:space="preserve">с конкурс </w:t>
      </w:r>
      <w:r w:rsidR="00EC3ABB">
        <w:rPr>
          <w:rFonts w:ascii="Times New Roman" w:eastAsia="Times New Roman" w:hAnsi="Times New Roman" w:cs="Times New Roman"/>
          <w:sz w:val="28"/>
          <w:szCs w:val="24"/>
        </w:rPr>
        <w:t>за специалност „</w:t>
      </w:r>
      <w:r w:rsidR="00F45663">
        <w:rPr>
          <w:rFonts w:ascii="Times New Roman" w:eastAsia="Times New Roman" w:hAnsi="Times New Roman" w:cs="Times New Roman"/>
          <w:sz w:val="28"/>
          <w:szCs w:val="24"/>
        </w:rPr>
        <w:t>Медицински лаборант</w:t>
      </w:r>
      <w:r w:rsidR="00EC3ABB">
        <w:rPr>
          <w:rFonts w:ascii="Times New Roman" w:eastAsia="Times New Roman" w:hAnsi="Times New Roman" w:cs="Times New Roman"/>
          <w:sz w:val="28"/>
          <w:szCs w:val="24"/>
        </w:rPr>
        <w:t>“</w:t>
      </w:r>
      <w:r w:rsidR="00F456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A71F0">
        <w:rPr>
          <w:rFonts w:ascii="Times New Roman" w:eastAsia="Times New Roman" w:hAnsi="Times New Roman" w:cs="Times New Roman"/>
          <w:sz w:val="28"/>
          <w:szCs w:val="24"/>
        </w:rPr>
        <w:t xml:space="preserve">, а за </w:t>
      </w:r>
      <w:r w:rsidR="00F45663">
        <w:rPr>
          <w:rFonts w:ascii="Times New Roman" w:eastAsia="Times New Roman" w:hAnsi="Times New Roman" w:cs="Times New Roman"/>
          <w:sz w:val="28"/>
          <w:szCs w:val="24"/>
        </w:rPr>
        <w:t>един преподавател е прекратен</w:t>
      </w:r>
      <w:r w:rsidR="002A71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45663">
        <w:rPr>
          <w:rFonts w:ascii="Times New Roman" w:eastAsia="Times New Roman" w:hAnsi="Times New Roman" w:cs="Times New Roman"/>
          <w:sz w:val="28"/>
          <w:szCs w:val="24"/>
        </w:rPr>
        <w:t>трудовия договор</w:t>
      </w:r>
      <w:r w:rsidR="00EC3AB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0737D" w:rsidRPr="0087653D">
        <w:rPr>
          <w:rFonts w:ascii="Times New Roman" w:eastAsia="Times New Roman" w:hAnsi="Times New Roman" w:cs="Times New Roman"/>
          <w:b/>
          <w:sz w:val="28"/>
          <w:szCs w:val="24"/>
        </w:rPr>
        <w:t>(Табл. 1)</w:t>
      </w:r>
    </w:p>
    <w:p w:rsidR="0090737D" w:rsidRDefault="0090737D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37D" w:rsidRPr="00205C55" w:rsidRDefault="00EC5735" w:rsidP="007F40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05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Табл. 1 </w:t>
      </w:r>
      <w:r w:rsidR="0090737D" w:rsidRPr="00205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КАДРОВ</w:t>
      </w:r>
      <w:r w:rsidR="00205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ПОТЕНЦИАЛ В МК  – СЪСТОЯНИЕ  </w:t>
      </w:r>
      <w:r w:rsidR="00205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90737D" w:rsidRPr="00205C5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към  </w:t>
      </w:r>
      <w:r w:rsidR="0090737D" w:rsidRPr="00205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E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4E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90737D" w:rsidRPr="00205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0737D" w:rsidRPr="00205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4E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90737D" w:rsidRPr="00205C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E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2018</w:t>
      </w:r>
      <w:r w:rsidR="0090737D" w:rsidRPr="00205C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5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г./</w:t>
      </w:r>
    </w:p>
    <w:p w:rsidR="0090737D" w:rsidRPr="00205C55" w:rsidRDefault="0090737D" w:rsidP="007F40FF">
      <w:pPr>
        <w:spacing w:after="0" w:line="36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44"/>
        <w:gridCol w:w="763"/>
        <w:gridCol w:w="512"/>
        <w:gridCol w:w="873"/>
        <w:gridCol w:w="544"/>
        <w:gridCol w:w="1071"/>
        <w:gridCol w:w="845"/>
        <w:gridCol w:w="494"/>
        <w:gridCol w:w="1121"/>
        <w:gridCol w:w="438"/>
        <w:gridCol w:w="1134"/>
        <w:gridCol w:w="889"/>
      </w:tblGrid>
      <w:tr w:rsidR="0087653D" w:rsidRPr="0090737D" w:rsidTr="004C5898">
        <w:trPr>
          <w:trHeight w:val="436"/>
          <w:jc w:val="center"/>
        </w:trPr>
        <w:tc>
          <w:tcPr>
            <w:tcW w:w="77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7653D" w:rsidRPr="0090737D" w:rsidRDefault="0087653D" w:rsidP="007F40F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7653D" w:rsidRPr="0090737D" w:rsidRDefault="0087653D" w:rsidP="007F40F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Професори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Доценти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Преподаватели в МК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Общо академичен състав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Доктори на науките</w:t>
            </w:r>
          </w:p>
        </w:tc>
        <w:tc>
          <w:tcPr>
            <w:tcW w:w="15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7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Доктори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653D" w:rsidRPr="0090737D" w:rsidRDefault="00C650B0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Служители</w:t>
            </w:r>
          </w:p>
        </w:tc>
      </w:tr>
      <w:tr w:rsidR="0087653D" w:rsidRPr="0090737D" w:rsidTr="004C5898">
        <w:trPr>
          <w:trHeight w:val="91"/>
          <w:jc w:val="center"/>
        </w:trPr>
        <w:tc>
          <w:tcPr>
            <w:tcW w:w="7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Общ</w:t>
            </w: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</w:t>
            </w:r>
          </w:p>
        </w:tc>
        <w:tc>
          <w:tcPr>
            <w:tcW w:w="763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 пенсионна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възраст</w:t>
            </w:r>
          </w:p>
        </w:tc>
        <w:tc>
          <w:tcPr>
            <w:tcW w:w="512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873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 пенсионна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възраст</w:t>
            </w:r>
          </w:p>
        </w:tc>
        <w:tc>
          <w:tcPr>
            <w:tcW w:w="544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1071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 пенсионна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възраст</w:t>
            </w:r>
          </w:p>
        </w:tc>
        <w:tc>
          <w:tcPr>
            <w:tcW w:w="845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1121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пенсионна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възраст</w:t>
            </w:r>
          </w:p>
        </w:tc>
        <w:tc>
          <w:tcPr>
            <w:tcW w:w="438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Общо</w:t>
            </w:r>
          </w:p>
        </w:tc>
        <w:tc>
          <w:tcPr>
            <w:tcW w:w="1134" w:type="dxa"/>
            <w:shd w:val="clear" w:color="auto" w:fill="auto"/>
          </w:tcPr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пенсионна</w:t>
            </w:r>
          </w:p>
          <w:p w:rsidR="0087653D" w:rsidRPr="004C5898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5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възраст</w:t>
            </w:r>
          </w:p>
        </w:tc>
        <w:tc>
          <w:tcPr>
            <w:tcW w:w="88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653D" w:rsidRPr="0090737D" w:rsidTr="004C5898">
        <w:trPr>
          <w:trHeight w:val="170"/>
          <w:jc w:val="center"/>
        </w:trPr>
        <w:tc>
          <w:tcPr>
            <w:tcW w:w="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МК</w:t>
            </w:r>
          </w:p>
        </w:tc>
        <w:tc>
          <w:tcPr>
            <w:tcW w:w="5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303992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303992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87653D" w:rsidRPr="0090737D" w:rsidRDefault="0087653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90737D" w:rsidRPr="0090737D" w:rsidRDefault="0090737D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37D" w:rsidRDefault="0090737D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780F" w:rsidRPr="00AE7D0E" w:rsidRDefault="0025098B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30780F" w:rsidRPr="0030780F">
        <w:rPr>
          <w:rFonts w:ascii="Times New Roman" w:eastAsia="Times New Roman" w:hAnsi="Times New Roman" w:cs="Times New Roman"/>
          <w:sz w:val="28"/>
          <w:szCs w:val="24"/>
        </w:rPr>
        <w:t xml:space="preserve">тестация на </w:t>
      </w:r>
      <w:r w:rsidR="00B47FDB">
        <w:rPr>
          <w:rFonts w:ascii="Times New Roman" w:eastAsia="Times New Roman" w:hAnsi="Times New Roman" w:cs="Times New Roman"/>
          <w:sz w:val="28"/>
          <w:szCs w:val="24"/>
        </w:rPr>
        <w:t xml:space="preserve">административния персонал </w:t>
      </w:r>
      <w:r w:rsidR="00174B5C">
        <w:rPr>
          <w:rFonts w:ascii="Times New Roman" w:eastAsia="Times New Roman" w:hAnsi="Times New Roman" w:cs="Times New Roman"/>
          <w:sz w:val="28"/>
          <w:szCs w:val="24"/>
        </w:rPr>
        <w:t xml:space="preserve">в колежа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="00B54489">
        <w:rPr>
          <w:rFonts w:ascii="Times New Roman" w:eastAsia="Times New Roman" w:hAnsi="Times New Roman" w:cs="Times New Roman"/>
          <w:sz w:val="28"/>
          <w:szCs w:val="24"/>
        </w:rPr>
        <w:t>е извърши</w:t>
      </w:r>
      <w:r w:rsidR="00174B5C">
        <w:rPr>
          <w:rFonts w:ascii="Times New Roman" w:eastAsia="Times New Roman" w:hAnsi="Times New Roman" w:cs="Times New Roman"/>
          <w:sz w:val="28"/>
          <w:szCs w:val="24"/>
        </w:rPr>
        <w:t xml:space="preserve"> през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4"/>
        </w:rPr>
        <w:t xml:space="preserve"> </w:t>
      </w:r>
      <w:r w:rsidR="00B47FD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март</w:t>
      </w:r>
      <w:r w:rsidRPr="00C86E3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2017 г</w:t>
      </w:r>
      <w:r w:rsidRPr="00C86E3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9453F6" w:rsidRPr="00C86E3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к</w:t>
      </w:r>
      <w:r w:rsidR="00B47FDB">
        <w:rPr>
          <w:rFonts w:ascii="Times New Roman" w:eastAsia="Times New Roman" w:hAnsi="Times New Roman" w:cs="Times New Roman"/>
          <w:sz w:val="28"/>
          <w:szCs w:val="24"/>
        </w:rPr>
        <w:t>ато са</w:t>
      </w:r>
      <w:r w:rsidR="009453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5F2F">
        <w:rPr>
          <w:rFonts w:ascii="Times New Roman" w:eastAsia="Times New Roman" w:hAnsi="Times New Roman" w:cs="Times New Roman"/>
          <w:sz w:val="28"/>
          <w:szCs w:val="24"/>
        </w:rPr>
        <w:t>атестирани   8</w:t>
      </w:r>
      <w:r w:rsidR="00B47FDB">
        <w:rPr>
          <w:rFonts w:ascii="Times New Roman" w:eastAsia="Times New Roman" w:hAnsi="Times New Roman" w:cs="Times New Roman"/>
          <w:sz w:val="28"/>
          <w:szCs w:val="24"/>
        </w:rPr>
        <w:t xml:space="preserve"> служители</w:t>
      </w:r>
      <w:r w:rsidR="0030780F" w:rsidRPr="0030780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AE7D0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30780F" w:rsidRPr="0030780F" w:rsidRDefault="0030780F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780F">
        <w:rPr>
          <w:rFonts w:ascii="Times New Roman" w:eastAsia="Times New Roman" w:hAnsi="Times New Roman" w:cs="Times New Roman"/>
          <w:sz w:val="28"/>
          <w:szCs w:val="24"/>
        </w:rPr>
        <w:t xml:space="preserve">Смятам за </w:t>
      </w:r>
      <w:r w:rsidR="002D753D">
        <w:rPr>
          <w:rFonts w:ascii="Times New Roman" w:eastAsia="Times New Roman" w:hAnsi="Times New Roman" w:cs="Times New Roman"/>
          <w:sz w:val="28"/>
          <w:szCs w:val="24"/>
        </w:rPr>
        <w:t xml:space="preserve">важно </w:t>
      </w:r>
      <w:r w:rsidRPr="0030780F">
        <w:rPr>
          <w:rFonts w:ascii="Times New Roman" w:eastAsia="Times New Roman" w:hAnsi="Times New Roman" w:cs="Times New Roman"/>
          <w:sz w:val="28"/>
          <w:szCs w:val="24"/>
        </w:rPr>
        <w:t xml:space="preserve">разширяване на възможностите за назначаване на хабилитирани преподаватели на основен трудов договор, които да обезпечат 50% от лекционните курсове по учебните дисциплини при наличие на изискващият се хорариум. </w:t>
      </w:r>
    </w:p>
    <w:p w:rsidR="0030780F" w:rsidRPr="0030780F" w:rsidRDefault="0030780F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780F">
        <w:rPr>
          <w:rFonts w:ascii="Times New Roman" w:eastAsia="Times New Roman" w:hAnsi="Times New Roman" w:cs="Times New Roman"/>
          <w:sz w:val="28"/>
          <w:szCs w:val="24"/>
        </w:rPr>
        <w:t>Необходимо е да се преразгледа щатното разписание на Колежа и да се използват всички налични възможности за привличане и назначаване на преподаватели, особено за клиничното обучение при което хорариума е относително висок.</w:t>
      </w:r>
      <w:r w:rsidR="00350BEF">
        <w:rPr>
          <w:rFonts w:ascii="Times New Roman" w:eastAsia="Times New Roman" w:hAnsi="Times New Roman" w:cs="Times New Roman"/>
          <w:sz w:val="28"/>
          <w:szCs w:val="24"/>
        </w:rPr>
        <w:t xml:space="preserve"> Това е препоръка и на ЕГ по акредитация.</w:t>
      </w:r>
    </w:p>
    <w:p w:rsidR="0030780F" w:rsidRPr="0030780F" w:rsidRDefault="0030780F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780F">
        <w:rPr>
          <w:rFonts w:ascii="Times New Roman" w:eastAsia="Times New Roman" w:hAnsi="Times New Roman" w:cs="Times New Roman"/>
          <w:sz w:val="28"/>
          <w:szCs w:val="24"/>
        </w:rPr>
        <w:t xml:space="preserve">Всичко това разбира се, трябва да бъде базирано и съобразено с възможностите за разкриване на </w:t>
      </w:r>
      <w:r w:rsidR="00E86E58">
        <w:rPr>
          <w:rFonts w:ascii="Times New Roman" w:eastAsia="Times New Roman" w:hAnsi="Times New Roman" w:cs="Times New Roman"/>
          <w:sz w:val="28"/>
          <w:szCs w:val="24"/>
        </w:rPr>
        <w:t xml:space="preserve">нови </w:t>
      </w:r>
      <w:r w:rsidRPr="0030780F">
        <w:rPr>
          <w:rFonts w:ascii="Times New Roman" w:eastAsia="Times New Roman" w:hAnsi="Times New Roman" w:cs="Times New Roman"/>
          <w:sz w:val="28"/>
          <w:szCs w:val="24"/>
        </w:rPr>
        <w:t>специалност</w:t>
      </w:r>
      <w:r w:rsidR="00E86E5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0780F">
        <w:rPr>
          <w:rFonts w:ascii="Times New Roman" w:eastAsia="Times New Roman" w:hAnsi="Times New Roman" w:cs="Times New Roman"/>
          <w:sz w:val="28"/>
          <w:szCs w:val="24"/>
        </w:rPr>
        <w:t xml:space="preserve"> в Колежа.</w:t>
      </w:r>
    </w:p>
    <w:p w:rsidR="0030780F" w:rsidRPr="0030780F" w:rsidRDefault="0030780F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780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Необходимо е привличането на </w:t>
      </w:r>
      <w:r w:rsidRPr="00C86E3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гост-лектори </w:t>
      </w:r>
      <w:r w:rsidRPr="0030780F">
        <w:rPr>
          <w:rFonts w:ascii="Times New Roman" w:eastAsia="Times New Roman" w:hAnsi="Times New Roman" w:cs="Times New Roman"/>
          <w:sz w:val="28"/>
          <w:szCs w:val="24"/>
        </w:rPr>
        <w:t>по възлови проблеми, произтичащи от учебното съдържание и свързани с динамичните промени в сферата на общественото здраве и здравните грижи.</w:t>
      </w:r>
      <w:r w:rsidR="00370F9F">
        <w:rPr>
          <w:rFonts w:ascii="Times New Roman" w:eastAsia="Times New Roman" w:hAnsi="Times New Roman" w:cs="Times New Roman"/>
          <w:sz w:val="28"/>
          <w:szCs w:val="24"/>
        </w:rPr>
        <w:t xml:space="preserve"> За пер</w:t>
      </w:r>
      <w:r w:rsidR="00D25F1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F3116E">
        <w:rPr>
          <w:rFonts w:ascii="Times New Roman" w:eastAsia="Times New Roman" w:hAnsi="Times New Roman" w:cs="Times New Roman"/>
          <w:sz w:val="28"/>
          <w:szCs w:val="24"/>
        </w:rPr>
        <w:t>ода са</w:t>
      </w:r>
      <w:r w:rsidR="00370F9F">
        <w:rPr>
          <w:rFonts w:ascii="Times New Roman" w:eastAsia="Times New Roman" w:hAnsi="Times New Roman" w:cs="Times New Roman"/>
          <w:sz w:val="28"/>
          <w:szCs w:val="24"/>
        </w:rPr>
        <w:t xml:space="preserve"> поканен</w:t>
      </w:r>
      <w:r w:rsidR="00F3116E">
        <w:rPr>
          <w:rFonts w:ascii="Times New Roman" w:eastAsia="Times New Roman" w:hAnsi="Times New Roman" w:cs="Times New Roman"/>
          <w:sz w:val="28"/>
          <w:szCs w:val="24"/>
        </w:rPr>
        <w:t>и двама</w:t>
      </w:r>
      <w:r w:rsidR="00370F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83586">
        <w:rPr>
          <w:rFonts w:ascii="Times New Roman" w:eastAsia="Times New Roman" w:hAnsi="Times New Roman" w:cs="Times New Roman"/>
          <w:sz w:val="28"/>
          <w:szCs w:val="24"/>
        </w:rPr>
        <w:t xml:space="preserve">един </w:t>
      </w:r>
      <w:r w:rsidR="00370F9F">
        <w:rPr>
          <w:rFonts w:ascii="Times New Roman" w:eastAsia="Times New Roman" w:hAnsi="Times New Roman" w:cs="Times New Roman"/>
          <w:sz w:val="28"/>
          <w:szCs w:val="24"/>
        </w:rPr>
        <w:t>гост-лектор</w:t>
      </w:r>
      <w:r w:rsidR="00F3116E">
        <w:rPr>
          <w:rFonts w:ascii="Times New Roman" w:eastAsia="Times New Roman" w:hAnsi="Times New Roman" w:cs="Times New Roman"/>
          <w:sz w:val="28"/>
          <w:szCs w:val="24"/>
        </w:rPr>
        <w:t>и от чужбина</w:t>
      </w:r>
      <w:r w:rsidR="00370F9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F4915" w:rsidRDefault="00CF491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11B8" w:rsidRPr="005311B8" w:rsidRDefault="005311B8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B8">
        <w:rPr>
          <w:rFonts w:ascii="Times New Roman" w:eastAsia="Times New Roman" w:hAnsi="Times New Roman" w:cs="Times New Roman"/>
          <w:b/>
          <w:sz w:val="28"/>
          <w:szCs w:val="28"/>
        </w:rPr>
        <w:t>ІV. Учебна дейност</w:t>
      </w:r>
      <w:r w:rsidR="00D25F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акредитация</w:t>
      </w:r>
      <w:r w:rsidRPr="005311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A16EB" w:rsidRPr="005F588C" w:rsidRDefault="004C4FC8" w:rsidP="005F5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Поддърж</w:t>
      </w:r>
      <w:r w:rsidR="005311B8" w:rsidRPr="005311B8">
        <w:rPr>
          <w:rFonts w:ascii="Times New Roman" w:eastAsia="Times New Roman" w:hAnsi="Times New Roman" w:cs="Times New Roman"/>
          <w:b/>
          <w:sz w:val="28"/>
          <w:szCs w:val="28"/>
        </w:rPr>
        <w:t>ане на позитивна образователна среда за преподавателите</w:t>
      </w:r>
      <w:r w:rsidR="00986D1B">
        <w:rPr>
          <w:rFonts w:ascii="Times New Roman" w:eastAsia="Times New Roman" w:hAnsi="Times New Roman" w:cs="Times New Roman"/>
          <w:b/>
          <w:sz w:val="28"/>
          <w:szCs w:val="28"/>
        </w:rPr>
        <w:t>, служителите</w:t>
      </w:r>
      <w:r w:rsidR="005311B8" w:rsidRPr="005311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студентите</w:t>
      </w:r>
    </w:p>
    <w:p w:rsidR="00DA16EB" w:rsidRPr="008978B7" w:rsidRDefault="00DA16EB" w:rsidP="005F588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val="be-BY" w:eastAsia="be-BY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В Медицинския колеж в настоящия момент се обучават </w:t>
      </w:r>
      <w:r w:rsidR="00350BE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23</w:t>
      </w:r>
      <w:r w:rsidR="00275FE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0</w:t>
      </w:r>
      <w:r w:rsidR="00262E1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студенти 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 три специалности – специалност „Рехабилитатор”; „Медицински лаборант” и „</w:t>
      </w:r>
      <w:r w:rsidRPr="00897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  <w:t>Гериатрични грижи“.</w:t>
      </w:r>
    </w:p>
    <w:p w:rsidR="00DA16EB" w:rsidRPr="00DA16EB" w:rsidRDefault="00DA16EB" w:rsidP="007F40FF">
      <w:pPr>
        <w:shd w:val="clear" w:color="auto" w:fill="FFFFFF"/>
        <w:spacing w:after="0" w:line="360" w:lineRule="auto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val="be-BY" w:eastAsia="be-BY"/>
        </w:rPr>
      </w:pPr>
    </w:p>
    <w:p w:rsidR="00DA16EB" w:rsidRPr="00AE7D0E" w:rsidRDefault="00754E58" w:rsidP="007F40FF">
      <w:pPr>
        <w:shd w:val="clear" w:color="auto" w:fill="FFFFFF"/>
        <w:spacing w:after="0" w:line="360" w:lineRule="auto"/>
        <w:ind w:firstLine="360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lang w:val="be-BY" w:eastAsia="be-BY"/>
        </w:rPr>
      </w:pPr>
      <w:r w:rsidRPr="00AE7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be-BY"/>
        </w:rPr>
        <w:t>Студентите за уч. 201</w:t>
      </w:r>
      <w:r w:rsidR="00C65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e-BY"/>
        </w:rPr>
        <w:t>7</w:t>
      </w:r>
      <w:r w:rsidRPr="00AE7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e-BY"/>
        </w:rPr>
        <w:t>/</w:t>
      </w:r>
      <w:r w:rsidRPr="00AE7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be-BY"/>
        </w:rPr>
        <w:t>1</w:t>
      </w:r>
      <w:r w:rsidR="00C65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be-BY"/>
        </w:rPr>
        <w:t>8</w:t>
      </w:r>
      <w:r w:rsidR="00DA16EB" w:rsidRPr="00AE7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be-BY"/>
        </w:rPr>
        <w:t xml:space="preserve"> г. се разпределят както следва:</w:t>
      </w:r>
    </w:p>
    <w:p w:rsidR="00DA16EB" w:rsidRPr="00DA16EB" w:rsidRDefault="00F27FA2" w:rsidP="007F40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Р</w:t>
      </w:r>
      <w:r w:rsidR="00DA16EB" w:rsidRPr="00D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ехабилитатор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 –  български и  чуждестранни студенти </w:t>
      </w:r>
      <w:r w:rsidR="003C2F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123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бр.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–  от тях </w:t>
      </w:r>
      <w:r w:rsidR="0075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5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бр. 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чуждестранни;</w:t>
      </w:r>
    </w:p>
    <w:p w:rsidR="00DA16EB" w:rsidRPr="00DA16EB" w:rsidRDefault="00F27FA2" w:rsidP="007F40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М</w:t>
      </w:r>
      <w:r w:rsidR="00DA16EB" w:rsidRPr="00D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едицински лаборант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 – български студенти  –  </w:t>
      </w:r>
      <w:r w:rsidR="003C2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8</w:t>
      </w:r>
      <w:r w:rsidR="003C2F1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</w:t>
      </w:r>
      <w:r w:rsidR="00DA16EB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бр.</w:t>
      </w:r>
    </w:p>
    <w:p w:rsidR="00102F3E" w:rsidRDefault="00F27FA2" w:rsidP="00102F3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Г</w:t>
      </w:r>
      <w:r w:rsidR="00DA16EB" w:rsidRPr="00D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ериатрични грижи </w:t>
      </w:r>
      <w:r w:rsidR="00DA16EB" w:rsidRPr="00DA16EB">
        <w:rPr>
          <w:rFonts w:ascii="Calibri" w:eastAsia="Times New Roman" w:hAnsi="Calibri" w:cs="Times New Roman"/>
          <w:color w:val="000000"/>
          <w:lang w:val="be-BY" w:eastAsia="be-BY"/>
        </w:rPr>
        <w:t>-</w:t>
      </w:r>
      <w:r w:rsidR="00DA16EB" w:rsidRPr="00DA16EB">
        <w:rPr>
          <w:rFonts w:ascii="Calibri" w:eastAsia="Times New Roman" w:hAnsi="Calibri" w:cs="Times New Roman"/>
          <w:color w:val="000000"/>
          <w:lang w:eastAsia="be-BY"/>
        </w:rPr>
        <w:t xml:space="preserve">  </w:t>
      </w:r>
      <w:r w:rsidR="003C2F13">
        <w:rPr>
          <w:rFonts w:ascii="Calibri" w:eastAsia="Times New Roman" w:hAnsi="Calibri" w:cs="Times New Roman"/>
          <w:color w:val="000000"/>
          <w:sz w:val="28"/>
          <w:szCs w:val="28"/>
          <w:lang w:eastAsia="be-BY"/>
        </w:rPr>
        <w:t>17</w:t>
      </w:r>
      <w:r w:rsidR="00DA16EB" w:rsidRPr="00DA16EB">
        <w:rPr>
          <w:rFonts w:ascii="Calibri" w:eastAsia="Times New Roman" w:hAnsi="Calibri" w:cs="Times New Roman"/>
          <w:color w:val="000000"/>
          <w:sz w:val="28"/>
          <w:szCs w:val="28"/>
          <w:lang w:eastAsia="be-BY"/>
        </w:rPr>
        <w:t xml:space="preserve"> бр.</w:t>
      </w:r>
    </w:p>
    <w:p w:rsidR="00102F3E" w:rsidRDefault="00102F3E" w:rsidP="00102F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DA16EB" w:rsidRPr="00102F3E" w:rsidRDefault="00E20755" w:rsidP="00102F3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be-BY" w:eastAsia="be-BY"/>
        </w:rPr>
      </w:pPr>
      <w:r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За периода </w:t>
      </w:r>
      <w:r w:rsidR="0083651F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са 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уснали</w:t>
      </w:r>
      <w:r w:rsidR="00102F3E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14, отстранени са 16 и   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пре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къснали</w:t>
      </w:r>
      <w:r w:rsidR="00DA16EB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102F3E" w:rsidRPr="00102F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30 студенти.</w:t>
      </w:r>
    </w:p>
    <w:p w:rsidR="00DA16EB" w:rsidRPr="00DA16EB" w:rsidRDefault="00DA16EB" w:rsidP="007F40F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ahoma"/>
          <w:color w:val="000000"/>
          <w:lang w:val="be-BY" w:eastAsia="be-BY"/>
        </w:rPr>
      </w:pPr>
    </w:p>
    <w:p w:rsidR="00713E97" w:rsidRDefault="00DA16EB" w:rsidP="007F40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Капацитетът на </w:t>
      </w:r>
      <w:r w:rsidR="008176E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професионалното направление “</w:t>
      </w:r>
      <w:r w:rsidR="00380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Здравни грижи” в </w:t>
      </w:r>
      <w:r w:rsidR="0062557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Колежа 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определен пр</w:t>
      </w:r>
      <w:r w:rsidR="008176E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и последните акредитации</w:t>
      </w:r>
      <w:r w:rsidR="00B62D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е както следва: </w:t>
      </w:r>
    </w:p>
    <w:p w:rsidR="00713E97" w:rsidRDefault="003C2F13" w:rsidP="007F40F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135</w:t>
      </w:r>
      <w:r w:rsidR="00DA16EB"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студенти за специалност „Рехаби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литатор” при годишен прием от 45</w:t>
      </w:r>
      <w:r w:rsidR="00DA16EB"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студенти</w:t>
      </w:r>
    </w:p>
    <w:p w:rsidR="00713E97" w:rsidRDefault="003C2F13" w:rsidP="007F40F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10</w:t>
      </w:r>
      <w:r w:rsidR="00DA16EB"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0 студенти за специалност “Медицински лаборант” при годишен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м от 33</w:t>
      </w:r>
      <w:r w:rsid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студенти</w:t>
      </w:r>
    </w:p>
    <w:p w:rsidR="00DA16EB" w:rsidRPr="00713E97" w:rsidRDefault="00AE7D0E" w:rsidP="007F40F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60 студенти </w:t>
      </w:r>
      <w:r w:rsidR="00DA16EB"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 специалност „</w:t>
      </w:r>
      <w:r w:rsidR="00DA16EB" w:rsidRPr="00713E9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Гериатрични грижи“ </w:t>
      </w:r>
      <w:r w:rsidR="00DA16EB" w:rsidRPr="00713E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при годишен прием от 20 студенти.</w:t>
      </w:r>
    </w:p>
    <w:p w:rsidR="00CF4915" w:rsidRPr="00AA0DF7" w:rsidRDefault="00CF4915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780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Новите условия на средата налагат на пазара на труда свободни ниши, където има място за реализация на нови специалисти – например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хранене и безопасност на храните, рентгенови лаборанти </w:t>
      </w:r>
      <w:r w:rsidRPr="0030780F">
        <w:rPr>
          <w:rFonts w:ascii="Times New Roman" w:eastAsia="Times New Roman" w:hAnsi="Times New Roman" w:cs="Times New Roman"/>
          <w:sz w:val="28"/>
          <w:szCs w:val="24"/>
        </w:rPr>
        <w:t xml:space="preserve">и др.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Ръководството на Колежа започна разговори за намиране на преподаватели, които</w:t>
      </w:r>
      <w:r w:rsidR="002F47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 обезпечат преподаването по задължителните профилиращи уч</w:t>
      </w:r>
      <w:r w:rsidR="002F47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ебни дисциплини в специалност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Рентгенов лаборант“. Имаме традиции при обучението по тази специалност, има реални потребности от нея, затова смятам, че можем да </w:t>
      </w:r>
      <w:r w:rsidR="00EB794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изготвим доклада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 акредитация</w:t>
      </w:r>
      <w:r w:rsidR="00EB794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до края на семестъра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D900B1" w:rsidRDefault="000335EA" w:rsidP="007F4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Обуче</w:t>
      </w:r>
      <w:r w:rsidR="005F36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нието за всички специалности в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МК е осигурено с преподавателски състав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 по-голямата част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на основен трудов договор към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ВУ (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МФ и МК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). </w:t>
      </w:r>
      <w:r w:rsidR="001A49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За </w:t>
      </w:r>
      <w:r w:rsidR="001A491F" w:rsidRPr="00B91145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теоретичното обучение</w:t>
      </w:r>
      <w:r w:rsidR="001A491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е осигурен необходимият процент хабилитирани лица и преподаватели с образователна и научна степен „доктор“.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За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някои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учебни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дисциплини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се ползват и външни преподаватели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То е организирано въз основа на Единните държавни изисквания за съответните </w:t>
      </w:r>
      <w:r w:rsidR="00D900B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регулирани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специалности за придобиване на висше образование </w:t>
      </w:r>
      <w:r w:rsidR="005F36EA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ОКС „</w:t>
      </w:r>
      <w:r w:rsidR="002F47B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професионален бакалавър“ </w:t>
      </w:r>
      <w:r w:rsidR="004F0E1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 2008 г. </w:t>
      </w:r>
      <w:r w:rsidR="00350BE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Наредбата за придобиване на висше образование от 2003 г.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и Наредба № 21 от 30.09.2004 г. за прилагане на система за натрупване и трансфер на кредити във висшите училища, а така също и правилата за Учебна дейност на Тракийския университет.</w:t>
      </w:r>
    </w:p>
    <w:p w:rsidR="000335EA" w:rsidRPr="000335EA" w:rsidRDefault="00852F2B" w:rsidP="007F4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Специалност</w:t>
      </w:r>
      <w:r w:rsidR="005F36EA">
        <w:rPr>
          <w:rFonts w:ascii="Times New Roman" w:eastAsia="Times New Roman" w:hAnsi="Times New Roman" w:cs="Times New Roman"/>
          <w:sz w:val="28"/>
          <w:szCs w:val="28"/>
          <w:lang w:eastAsia="be-BY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D900B1">
        <w:rPr>
          <w:rFonts w:ascii="Times New Roman" w:eastAsia="Times New Roman" w:hAnsi="Times New Roman" w:cs="Times New Roman"/>
          <w:sz w:val="28"/>
          <w:szCs w:val="28"/>
          <w:lang w:eastAsia="be-BY"/>
        </w:rPr>
        <w:t>„Гериатрични грижи“</w:t>
      </w:r>
      <w:r w:rsidR="000335EA"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8978B7">
        <w:rPr>
          <w:rFonts w:ascii="Times New Roman" w:eastAsia="Times New Roman" w:hAnsi="Times New Roman" w:cs="Times New Roman"/>
          <w:sz w:val="28"/>
          <w:szCs w:val="28"/>
          <w:lang w:eastAsia="be-BY"/>
        </w:rPr>
        <w:t>е нер</w:t>
      </w:r>
      <w:r w:rsidR="00D900B1">
        <w:rPr>
          <w:rFonts w:ascii="Times New Roman" w:eastAsia="Times New Roman" w:hAnsi="Times New Roman" w:cs="Times New Roman"/>
          <w:sz w:val="28"/>
          <w:szCs w:val="28"/>
          <w:lang w:eastAsia="be-BY"/>
        </w:rPr>
        <w:t>егулирана, затова обу</w:t>
      </w:r>
      <w:r w:rsidR="00036A17">
        <w:rPr>
          <w:rFonts w:ascii="Times New Roman" w:eastAsia="Times New Roman" w:hAnsi="Times New Roman" w:cs="Times New Roman"/>
          <w:sz w:val="28"/>
          <w:szCs w:val="28"/>
          <w:lang w:eastAsia="be-BY"/>
        </w:rPr>
        <w:t>чението е организирано съобразн</w:t>
      </w:r>
      <w:r w:rsidR="009338D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</w:t>
      </w:r>
      <w:r w:rsidR="0097644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 </w:t>
      </w:r>
      <w:r w:rsidR="009338D0">
        <w:rPr>
          <w:rFonts w:ascii="Times New Roman" w:eastAsia="Times New Roman" w:hAnsi="Times New Roman" w:cs="Times New Roman"/>
          <w:sz w:val="28"/>
          <w:szCs w:val="28"/>
          <w:lang w:eastAsia="be-BY"/>
        </w:rPr>
        <w:t>Наредбата за придобиван</w:t>
      </w:r>
      <w:r w:rsidR="00D8598B">
        <w:rPr>
          <w:rFonts w:ascii="Times New Roman" w:eastAsia="Times New Roman" w:hAnsi="Times New Roman" w:cs="Times New Roman"/>
          <w:sz w:val="28"/>
          <w:szCs w:val="28"/>
          <w:lang w:eastAsia="be-BY"/>
        </w:rPr>
        <w:t>е на висше образование, приета с Постановление 162 през 2002 г, с последна актуализация от 2003 г.</w:t>
      </w:r>
      <w:r w:rsidR="009338D0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="0089442F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="009338D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която не е актуализи</w:t>
      </w:r>
      <w:r w:rsidR="00976449">
        <w:rPr>
          <w:rFonts w:ascii="Times New Roman" w:eastAsia="Times New Roman" w:hAnsi="Times New Roman" w:cs="Times New Roman"/>
          <w:sz w:val="28"/>
          <w:szCs w:val="28"/>
          <w:lang w:eastAsia="be-BY"/>
        </w:rPr>
        <w:t>рана, след въвеждането на ОКС „</w:t>
      </w:r>
      <w:r w:rsidR="009338D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професионален бакалавър“ в Колежите, и изисква максимален хорариум от 2400 часа. </w:t>
      </w:r>
    </w:p>
    <w:p w:rsidR="000335EA" w:rsidRDefault="000335EA" w:rsidP="007F40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335E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Разработването  на учебните програми се съобразява с поставените цели на обучението, учебния план и системата за натрупване и трансфер на </w:t>
      </w:r>
      <w:r w:rsidRPr="000335E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 xml:space="preserve">кредити.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Учебните програми са структурирани, съгласно изискван</w:t>
      </w:r>
      <w:r w:rsidR="00E6087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ията </w:t>
      </w:r>
      <w:r w:rsidR="00F64A7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 </w:t>
      </w:r>
      <w:r w:rsidR="00F64A79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 xml:space="preserve">ISO </w:t>
      </w:r>
      <w:r w:rsidR="00F64A79">
        <w:rPr>
          <w:rFonts w:ascii="Times New Roman" w:eastAsia="Times New Roman" w:hAnsi="Times New Roman" w:cs="Times New Roman"/>
          <w:sz w:val="28"/>
          <w:szCs w:val="28"/>
          <w:lang w:eastAsia="be-BY"/>
        </w:rPr>
        <w:t>в</w:t>
      </w:r>
      <w:r w:rsidR="00E6087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Траки</w:t>
      </w:r>
      <w:r w:rsidR="00F64A79">
        <w:rPr>
          <w:rFonts w:ascii="Times New Roman" w:eastAsia="Times New Roman" w:hAnsi="Times New Roman" w:cs="Times New Roman"/>
          <w:sz w:val="28"/>
          <w:szCs w:val="28"/>
          <w:lang w:eastAsia="be-BY"/>
        </w:rPr>
        <w:t>йски</w:t>
      </w:r>
      <w:r w:rsidR="00E6087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университет.</w:t>
      </w:r>
    </w:p>
    <w:p w:rsidR="000335EA" w:rsidRPr="000335EA" w:rsidRDefault="004C17F1" w:rsidP="007F40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Всички специалности в МК са акредитирани. </w:t>
      </w:r>
      <w:r w:rsidR="00BB360C">
        <w:rPr>
          <w:rFonts w:ascii="Times New Roman" w:eastAsia="Times New Roman" w:hAnsi="Times New Roman" w:cs="Times New Roman"/>
          <w:sz w:val="28"/>
          <w:szCs w:val="28"/>
          <w:lang w:eastAsia="be-BY"/>
        </w:rPr>
        <w:t>Регулираните специалности</w:t>
      </w:r>
      <w:r w:rsidR="00FD024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„Рехабилитатор“ и „Медицински </w:t>
      </w:r>
      <w:r w:rsidR="000335EA"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лаборант“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са с </w:t>
      </w:r>
      <w:r w:rsidR="000335EA"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положителна акредитация от НАОА с оценка „Много добра” за с</w:t>
      </w:r>
      <w:r w:rsidR="001B6134">
        <w:rPr>
          <w:rFonts w:ascii="Times New Roman" w:eastAsia="Times New Roman" w:hAnsi="Times New Roman" w:cs="Times New Roman"/>
          <w:sz w:val="28"/>
          <w:szCs w:val="28"/>
          <w:lang w:eastAsia="be-BY"/>
        </w:rPr>
        <w:t>рок от 5</w:t>
      </w:r>
      <w:r w:rsidR="007C292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години и </w:t>
      </w:r>
      <w:r w:rsidR="001B6134">
        <w:rPr>
          <w:rFonts w:ascii="Times New Roman" w:eastAsia="Times New Roman" w:hAnsi="Times New Roman" w:cs="Times New Roman"/>
          <w:sz w:val="28"/>
          <w:szCs w:val="28"/>
          <w:lang w:eastAsia="be-BY"/>
        </w:rPr>
        <w:t>увеличен капацитет 135</w:t>
      </w:r>
      <w:r w:rsidR="007C292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</w:t>
      </w:r>
      <w:r w:rsidR="001B6134">
        <w:rPr>
          <w:rFonts w:ascii="Times New Roman" w:eastAsia="Times New Roman" w:hAnsi="Times New Roman" w:cs="Times New Roman"/>
          <w:sz w:val="28"/>
          <w:szCs w:val="28"/>
          <w:lang w:eastAsia="be-BY"/>
        </w:rPr>
        <w:t>10</w:t>
      </w:r>
      <w:r w:rsidR="00E2169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0 студенти. </w:t>
      </w:r>
    </w:p>
    <w:p w:rsidR="000335EA" w:rsidRPr="000335EA" w:rsidRDefault="00C650B0" w:rsidP="007F4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През </w:t>
      </w:r>
      <w:r w:rsidR="00E2169B">
        <w:rPr>
          <w:rFonts w:ascii="Times New Roman" w:eastAsia="Times New Roman" w:hAnsi="Times New Roman" w:cs="Times New Roman"/>
          <w:sz w:val="28"/>
          <w:szCs w:val="28"/>
          <w:lang w:eastAsia="be-BY"/>
        </w:rPr>
        <w:t>февруари 2017</w:t>
      </w:r>
      <w:r w:rsidR="00073EB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г. </w:t>
      </w:r>
      <w:r w:rsidR="00E2169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ЕГ по САНК,  </w:t>
      </w:r>
      <w:r w:rsidR="009664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извърши </w:t>
      </w:r>
      <w:r w:rsidR="0025056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посещение в МК, във връзка със следакредитационното наблюдение </w:t>
      </w:r>
      <w:r w:rsidR="0009222F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про</w:t>
      </w:r>
      <w:r w:rsidR="00E2169B">
        <w:rPr>
          <w:rFonts w:ascii="Times New Roman" w:eastAsia="Times New Roman" w:hAnsi="Times New Roman" w:cs="Times New Roman"/>
          <w:sz w:val="28"/>
          <w:szCs w:val="28"/>
          <w:lang w:eastAsia="be-BY"/>
        </w:rPr>
        <w:t>фесионално направление „</w:t>
      </w:r>
      <w:r w:rsidR="00D72EAC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Здравни</w:t>
      </w:r>
      <w:r w:rsidR="0009222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грижи“ със </w:t>
      </w:r>
      <w:r w:rsidR="000335EA"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специалност от нерегулираните професии „Гериатрични грижи“ н</w:t>
      </w:r>
      <w:r w:rsidR="00073EB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 ОКС </w:t>
      </w:r>
      <w:r w:rsidR="0064763E">
        <w:rPr>
          <w:rFonts w:ascii="Times New Roman" w:eastAsia="Times New Roman" w:hAnsi="Times New Roman" w:cs="Times New Roman"/>
          <w:sz w:val="28"/>
          <w:szCs w:val="28"/>
          <w:lang w:eastAsia="be-BY"/>
        </w:rPr>
        <w:t>„Професионален бакалавър“</w:t>
      </w:r>
      <w:r w:rsidR="0025056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B805C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Комисията констатира пълно съответствие с изпълнените препоръки от предходната акредитация.</w:t>
      </w:r>
    </w:p>
    <w:p w:rsidR="00537198" w:rsidRDefault="006461F2" w:rsidP="00B805C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Периодично се извършва актуализация на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Учебните планове и учебните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съобразно 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>препоръките на комисията от НАОА и ЕДИ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Pr="000335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974A7C" w:rsidRPr="00974A7C" w:rsidRDefault="00974A7C" w:rsidP="007F40FF">
      <w:pPr>
        <w:spacing w:after="16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Практическото обучение</w:t>
      </w:r>
      <w:r w:rsidRPr="0097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студентите от МК (учебно-практически занятия, кл</w:t>
      </w:r>
      <w:r w:rsidR="00143913">
        <w:rPr>
          <w:rFonts w:ascii="Times New Roman" w:hAnsi="Times New Roman" w:cs="Times New Roman"/>
          <w:color w:val="000000" w:themeColor="text1"/>
          <w:sz w:val="28"/>
          <w:szCs w:val="28"/>
        </w:rPr>
        <w:t>инични практики и стажове) съста</w:t>
      </w:r>
      <w:r w:rsidRPr="00974A7C">
        <w:rPr>
          <w:rFonts w:ascii="Times New Roman" w:hAnsi="Times New Roman" w:cs="Times New Roman"/>
          <w:color w:val="000000" w:themeColor="text1"/>
          <w:sz w:val="28"/>
          <w:szCs w:val="28"/>
        </w:rPr>
        <w:t>влява 50 % от цялостното обучение в Колежа. Учебно-практическите занятия формират практическите умения на студентите и се провеждат в симулирани условия, в специално оборудвани за целта кабинети и учебни лаборатории. Водят се от преподавателите по профилиращите учебни дисциплини на основен трудов договор в МК. Клиничните практики и стажове се провеждат в акредитирани Лечебни заведения, на територията на област Стара Загора и страната,  с които Колежът има сключени договори! За целта се определят наставници, които отговарят за студентите в клиничните бази. Преподавателите поддържат тясна връзка с тях и съвместно о</w:t>
      </w:r>
      <w:r w:rsidR="00521ADE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Pr="00974A7C">
        <w:rPr>
          <w:rFonts w:ascii="Times New Roman" w:hAnsi="Times New Roman" w:cs="Times New Roman"/>
          <w:color w:val="000000" w:themeColor="text1"/>
          <w:sz w:val="28"/>
          <w:szCs w:val="28"/>
        </w:rPr>
        <w:t>анизират и провеждат практическото обучение в реални условия.</w:t>
      </w:r>
    </w:p>
    <w:p w:rsidR="0058562E" w:rsidRPr="00974A7C" w:rsidRDefault="00974A7C" w:rsidP="007F40F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A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Тенденцията е да се увеличава броят на клиничните бази, съобразно потребностите на практиката и да се осигурява бърза реализация на завършващите Колежа.</w:t>
      </w:r>
      <w:r w:rsidRPr="0097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5C1">
        <w:rPr>
          <w:rFonts w:ascii="Times New Roman" w:eastAsia="Times New Roman" w:hAnsi="Times New Roman" w:cs="Times New Roman"/>
          <w:sz w:val="28"/>
          <w:szCs w:val="28"/>
        </w:rPr>
        <w:t>През февру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 се сключи Договор за клиничното обучение с </w:t>
      </w:r>
      <w:r w:rsidR="00102F3E">
        <w:rPr>
          <w:rFonts w:ascii="Times New Roman" w:eastAsia="Times New Roman" w:hAnsi="Times New Roman" w:cs="Times New Roman"/>
          <w:sz w:val="28"/>
          <w:szCs w:val="28"/>
        </w:rPr>
        <w:t xml:space="preserve">Медицински център ЕООД, </w:t>
      </w:r>
      <w:r>
        <w:rPr>
          <w:rFonts w:ascii="Times New Roman" w:eastAsia="Times New Roman" w:hAnsi="Times New Roman" w:cs="Times New Roman"/>
          <w:sz w:val="28"/>
          <w:szCs w:val="28"/>
        </w:rPr>
        <w:t>гр. Павел Баня.</w:t>
      </w:r>
    </w:p>
    <w:p w:rsidR="00545537" w:rsidRPr="00545537" w:rsidRDefault="009A5418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545537" w:rsidRPr="00545537">
        <w:rPr>
          <w:rFonts w:ascii="Times New Roman" w:eastAsia="Times New Roman" w:hAnsi="Times New Roman" w:cs="Times New Roman"/>
          <w:sz w:val="28"/>
          <w:szCs w:val="24"/>
        </w:rPr>
        <w:t xml:space="preserve"> Колежа са създадени оптимални условия </w:t>
      </w:r>
      <w:r w:rsidR="006B01F6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545537">
        <w:rPr>
          <w:rFonts w:ascii="Times New Roman" w:eastAsia="Times New Roman" w:hAnsi="Times New Roman" w:cs="Times New Roman"/>
          <w:sz w:val="28"/>
          <w:szCs w:val="24"/>
        </w:rPr>
        <w:t>а ре</w:t>
      </w:r>
      <w:r w:rsidR="006B01F6">
        <w:rPr>
          <w:rFonts w:ascii="Times New Roman" w:eastAsia="Times New Roman" w:hAnsi="Times New Roman" w:cs="Times New Roman"/>
          <w:sz w:val="28"/>
          <w:szCs w:val="24"/>
        </w:rPr>
        <w:t>ализиране на учебния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процес </w:t>
      </w:r>
      <w:r w:rsidR="006B01F6">
        <w:rPr>
          <w:rFonts w:ascii="Times New Roman" w:eastAsia="Times New Roman" w:hAnsi="Times New Roman" w:cs="Times New Roman"/>
          <w:sz w:val="28"/>
          <w:szCs w:val="24"/>
        </w:rPr>
        <w:t xml:space="preserve">за трите специалности. МТБ </w:t>
      </w:r>
      <w:r w:rsidR="00545537" w:rsidRPr="00545537">
        <w:rPr>
          <w:rFonts w:ascii="Times New Roman" w:eastAsia="Times New Roman" w:hAnsi="Times New Roman" w:cs="Times New Roman"/>
          <w:sz w:val="28"/>
          <w:szCs w:val="24"/>
        </w:rPr>
        <w:t>напълно удовлетворява потребности</w:t>
      </w:r>
      <w:r w:rsidR="006B01F6">
        <w:rPr>
          <w:rFonts w:ascii="Times New Roman" w:eastAsia="Times New Roman" w:hAnsi="Times New Roman" w:cs="Times New Roman"/>
          <w:sz w:val="28"/>
          <w:szCs w:val="24"/>
        </w:rPr>
        <w:t>те</w:t>
      </w:r>
      <w:r w:rsidR="00545537" w:rsidRPr="00545537">
        <w:rPr>
          <w:rFonts w:ascii="Times New Roman" w:eastAsia="Times New Roman" w:hAnsi="Times New Roman" w:cs="Times New Roman"/>
          <w:sz w:val="28"/>
          <w:szCs w:val="24"/>
        </w:rPr>
        <w:t xml:space="preserve"> на сегашния етап. Периодично се обновява апаратурата, необходима за практическото обучение, като подходящ начин за нейното финансиране се оказ</w:t>
      </w:r>
      <w:r w:rsidR="00B6146A">
        <w:rPr>
          <w:rFonts w:ascii="Times New Roman" w:eastAsia="Times New Roman" w:hAnsi="Times New Roman" w:cs="Times New Roman"/>
          <w:sz w:val="28"/>
          <w:szCs w:val="24"/>
        </w:rPr>
        <w:t>в</w:t>
      </w:r>
      <w:r w:rsidR="00545537" w:rsidRPr="00545537">
        <w:rPr>
          <w:rFonts w:ascii="Times New Roman" w:eastAsia="Times New Roman" w:hAnsi="Times New Roman" w:cs="Times New Roman"/>
          <w:sz w:val="28"/>
          <w:szCs w:val="24"/>
        </w:rPr>
        <w:t>а</w:t>
      </w:r>
      <w:r w:rsidR="00B6146A">
        <w:rPr>
          <w:rFonts w:ascii="Times New Roman" w:eastAsia="Times New Roman" w:hAnsi="Times New Roman" w:cs="Times New Roman"/>
          <w:sz w:val="28"/>
          <w:szCs w:val="24"/>
        </w:rPr>
        <w:t xml:space="preserve"> в някои случаи и</w:t>
      </w:r>
      <w:r w:rsidR="00545537" w:rsidRPr="00545537">
        <w:rPr>
          <w:rFonts w:ascii="Times New Roman" w:eastAsia="Times New Roman" w:hAnsi="Times New Roman" w:cs="Times New Roman"/>
          <w:sz w:val="28"/>
          <w:szCs w:val="24"/>
        </w:rPr>
        <w:t xml:space="preserve"> проектната дейност.</w:t>
      </w:r>
    </w:p>
    <w:p w:rsidR="002B60F8" w:rsidRDefault="00545537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37">
        <w:rPr>
          <w:rFonts w:ascii="Times New Roman" w:eastAsia="Times New Roman" w:hAnsi="Times New Roman" w:cs="Times New Roman"/>
          <w:sz w:val="28"/>
          <w:szCs w:val="28"/>
        </w:rPr>
        <w:t xml:space="preserve">На настоящия етап </w:t>
      </w:r>
      <w:r w:rsidR="00740D32">
        <w:rPr>
          <w:rFonts w:ascii="Times New Roman" w:eastAsia="Times New Roman" w:hAnsi="Times New Roman" w:cs="Times New Roman"/>
          <w:sz w:val="28"/>
          <w:szCs w:val="28"/>
        </w:rPr>
        <w:t>внедрената</w:t>
      </w:r>
      <w:r w:rsidRPr="00545537">
        <w:rPr>
          <w:rFonts w:ascii="Times New Roman" w:eastAsia="Times New Roman" w:hAnsi="Times New Roman" w:cs="Times New Roman"/>
          <w:sz w:val="28"/>
          <w:szCs w:val="28"/>
        </w:rPr>
        <w:t xml:space="preserve"> система за контрол на документацията по </w:t>
      </w:r>
      <w:r w:rsidRPr="00545537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545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D32">
        <w:rPr>
          <w:rFonts w:ascii="Times New Roman" w:eastAsia="Times New Roman" w:hAnsi="Times New Roman" w:cs="Times New Roman"/>
          <w:sz w:val="28"/>
          <w:szCs w:val="28"/>
        </w:rPr>
        <w:t xml:space="preserve">работи успешно и </w:t>
      </w:r>
      <w:r w:rsidRPr="00545537">
        <w:rPr>
          <w:rFonts w:ascii="Times New Roman" w:eastAsia="Times New Roman" w:hAnsi="Times New Roman" w:cs="Times New Roman"/>
          <w:sz w:val="28"/>
          <w:szCs w:val="28"/>
        </w:rPr>
        <w:t xml:space="preserve">гарантира по-добро ниво на качеството на документите с вътрешен  и външен произход. </w:t>
      </w:r>
      <w:r w:rsidR="002B60F8">
        <w:rPr>
          <w:rFonts w:ascii="Times New Roman" w:eastAsia="Times New Roman" w:hAnsi="Times New Roman" w:cs="Times New Roman"/>
          <w:sz w:val="28"/>
          <w:szCs w:val="28"/>
        </w:rPr>
        <w:t>Подобрен е потокът на входящи и изходящи документи, своевременното им получаване от деловодството на Тр.У и входирането им в документацията на МК.</w:t>
      </w:r>
    </w:p>
    <w:p w:rsidR="000A39AF" w:rsidRPr="00715BD0" w:rsidRDefault="000A39AF" w:rsidP="007F40F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1E">
        <w:rPr>
          <w:rFonts w:ascii="Times New Roman" w:eastAsia="Times New Roman" w:hAnsi="Times New Roman" w:cs="Times New Roman"/>
          <w:sz w:val="28"/>
          <w:szCs w:val="28"/>
        </w:rPr>
        <w:t>По отношение на</w:t>
      </w:r>
      <w:r w:rsidR="006E1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81E" w:rsidRPr="00B91145">
        <w:rPr>
          <w:rFonts w:ascii="Times New Roman" w:eastAsia="Times New Roman" w:hAnsi="Times New Roman" w:cs="Times New Roman"/>
          <w:b/>
          <w:sz w:val="28"/>
          <w:szCs w:val="28"/>
        </w:rPr>
        <w:t>продължаващото обучение</w:t>
      </w:r>
      <w:r w:rsidR="006E1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81E">
        <w:rPr>
          <w:rFonts w:ascii="Times New Roman" w:eastAsia="Times New Roman" w:hAnsi="Times New Roman" w:cs="Times New Roman"/>
          <w:sz w:val="28"/>
          <w:szCs w:val="28"/>
        </w:rPr>
        <w:t>за здравните професионалисти</w:t>
      </w:r>
      <w:r w:rsidR="006E181E">
        <w:rPr>
          <w:rFonts w:ascii="Times New Roman" w:eastAsia="Times New Roman" w:hAnsi="Times New Roman" w:cs="Times New Roman"/>
          <w:sz w:val="28"/>
          <w:szCs w:val="28"/>
        </w:rPr>
        <w:t>, то</w:t>
      </w:r>
      <w:r w:rsidRPr="006E181E">
        <w:rPr>
          <w:rFonts w:ascii="Times New Roman" w:eastAsia="Times New Roman" w:hAnsi="Times New Roman" w:cs="Times New Roman"/>
          <w:sz w:val="28"/>
          <w:szCs w:val="28"/>
        </w:rPr>
        <w:t xml:space="preserve"> е задължително и регламентирано в Закона за съсловната организация от д</w:t>
      </w:r>
      <w:r w:rsidR="006E181E" w:rsidRPr="006E181E">
        <w:rPr>
          <w:rFonts w:ascii="Times New Roman" w:eastAsia="Times New Roman" w:hAnsi="Times New Roman" w:cs="Times New Roman"/>
          <w:sz w:val="28"/>
          <w:szCs w:val="28"/>
        </w:rPr>
        <w:t>екември, 2</w:t>
      </w:r>
      <w:r w:rsidR="00073EB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6E181E" w:rsidRPr="006E181E">
        <w:rPr>
          <w:rFonts w:ascii="Times New Roman" w:eastAsia="Times New Roman" w:hAnsi="Times New Roman" w:cs="Times New Roman"/>
          <w:sz w:val="28"/>
          <w:szCs w:val="28"/>
        </w:rPr>
        <w:t xml:space="preserve">16 г.  </w:t>
      </w:r>
      <w:r w:rsidR="002815A5">
        <w:rPr>
          <w:rFonts w:ascii="Times New Roman" w:eastAsia="Times New Roman" w:hAnsi="Times New Roman" w:cs="Times New Roman"/>
          <w:sz w:val="28"/>
          <w:szCs w:val="28"/>
        </w:rPr>
        <w:t xml:space="preserve">В тази връзка </w:t>
      </w:r>
      <w:r w:rsidR="0046022B">
        <w:rPr>
          <w:rFonts w:ascii="Times New Roman" w:hAnsi="Times New Roman" w:cs="Times New Roman"/>
          <w:sz w:val="28"/>
          <w:szCs w:val="28"/>
        </w:rPr>
        <w:t xml:space="preserve">Тр. У </w:t>
      </w:r>
      <w:r w:rsidR="006E181E" w:rsidRPr="006E181E">
        <w:rPr>
          <w:rFonts w:ascii="Times New Roman" w:hAnsi="Times New Roman" w:cs="Times New Roman"/>
          <w:sz w:val="28"/>
          <w:szCs w:val="28"/>
        </w:rPr>
        <w:t xml:space="preserve">има сключен Договор с Българската асоциация на професионалистите по здравни грижи </w:t>
      </w:r>
      <w:r w:rsidR="0046022B">
        <w:rPr>
          <w:rFonts w:ascii="Times New Roman" w:hAnsi="Times New Roman" w:cs="Times New Roman"/>
          <w:sz w:val="28"/>
          <w:szCs w:val="28"/>
        </w:rPr>
        <w:t xml:space="preserve">(БАПЗГ), за което </w:t>
      </w:r>
      <w:r w:rsidR="00715BD0">
        <w:rPr>
          <w:rFonts w:ascii="Times New Roman" w:hAnsi="Times New Roman" w:cs="Times New Roman"/>
          <w:sz w:val="28"/>
          <w:szCs w:val="28"/>
        </w:rPr>
        <w:t xml:space="preserve">са определени </w:t>
      </w:r>
      <w:r w:rsidR="0046022B">
        <w:rPr>
          <w:rFonts w:ascii="Times New Roman" w:hAnsi="Times New Roman" w:cs="Times New Roman"/>
          <w:sz w:val="28"/>
          <w:szCs w:val="28"/>
        </w:rPr>
        <w:t>т</w:t>
      </w:r>
      <w:r w:rsidR="006E181E" w:rsidRPr="006E181E">
        <w:rPr>
          <w:rFonts w:ascii="Times New Roman" w:hAnsi="Times New Roman" w:cs="Times New Roman"/>
          <w:sz w:val="28"/>
          <w:szCs w:val="28"/>
        </w:rPr>
        <w:t xml:space="preserve">ематичните курсове за 2017 г. </w:t>
      </w:r>
      <w:r w:rsidR="000F05F7">
        <w:rPr>
          <w:rFonts w:ascii="Times New Roman" w:eastAsia="Times New Roman" w:hAnsi="Times New Roman" w:cs="Times New Roman"/>
          <w:sz w:val="28"/>
          <w:szCs w:val="28"/>
        </w:rPr>
        <w:t xml:space="preserve">Сътрудничеството с БАПЗГ се състои </w:t>
      </w:r>
      <w:r w:rsidR="009A281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F05F7">
        <w:rPr>
          <w:rFonts w:ascii="Times New Roman" w:eastAsia="Times New Roman" w:hAnsi="Times New Roman" w:cs="Times New Roman"/>
          <w:sz w:val="28"/>
          <w:szCs w:val="28"/>
        </w:rPr>
        <w:t>в кредитирането с точки на продължаващото обучение, вкл. и участията в научни форуми, което</w:t>
      </w:r>
      <w:r w:rsidR="00810CF3">
        <w:rPr>
          <w:rFonts w:ascii="Times New Roman" w:eastAsia="Times New Roman" w:hAnsi="Times New Roman" w:cs="Times New Roman"/>
          <w:sz w:val="28"/>
          <w:szCs w:val="28"/>
        </w:rPr>
        <w:t xml:space="preserve"> е мотивиращ стимул з</w:t>
      </w:r>
      <w:r w:rsidR="009A281B">
        <w:rPr>
          <w:rFonts w:ascii="Times New Roman" w:eastAsia="Times New Roman" w:hAnsi="Times New Roman" w:cs="Times New Roman"/>
          <w:sz w:val="28"/>
          <w:szCs w:val="28"/>
        </w:rPr>
        <w:t>а здравните професионалисти.</w:t>
      </w:r>
    </w:p>
    <w:p w:rsidR="000447B8" w:rsidRDefault="000447B8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F2305" w:rsidRPr="00EF2305" w:rsidRDefault="00EF2305" w:rsidP="007F40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V. Научна дейност</w:t>
      </w:r>
      <w:r w:rsidR="00CE3B8E">
        <w:rPr>
          <w:rFonts w:ascii="Times New Roman" w:eastAsia="Times New Roman" w:hAnsi="Times New Roman" w:cs="Times New Roman"/>
          <w:b/>
          <w:sz w:val="28"/>
          <w:szCs w:val="24"/>
        </w:rPr>
        <w:t xml:space="preserve"> и  научни Проекти</w:t>
      </w: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</w:p>
    <w:p w:rsidR="00EF2305" w:rsidRPr="00EF2305" w:rsidRDefault="00EF2305" w:rsidP="007F40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– стимулиране и мотивиране на преподавателите и студентите за научна дейност, участие в обмени и разработване на проекти</w:t>
      </w:r>
    </w:p>
    <w:p w:rsidR="00EF2305" w:rsidRPr="00EF2305" w:rsidRDefault="00EF2305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sz w:val="28"/>
          <w:szCs w:val="24"/>
        </w:rPr>
        <w:t>Нау</w:t>
      </w:r>
      <w:r w:rsidR="008913DE">
        <w:rPr>
          <w:rFonts w:ascii="Times New Roman" w:eastAsia="Times New Roman" w:hAnsi="Times New Roman" w:cs="Times New Roman"/>
          <w:sz w:val="28"/>
          <w:szCs w:val="24"/>
        </w:rPr>
        <w:t>чната дейност в МК – Ст.Загора з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>а п</w:t>
      </w:r>
      <w:r w:rsidR="008913DE">
        <w:rPr>
          <w:rFonts w:ascii="Times New Roman" w:eastAsia="Times New Roman" w:hAnsi="Times New Roman" w:cs="Times New Roman"/>
          <w:sz w:val="28"/>
          <w:szCs w:val="24"/>
        </w:rPr>
        <w:t>ериода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 се развива, съобразно потребност</w:t>
      </w:r>
      <w:r w:rsidR="008913DE">
        <w:rPr>
          <w:rFonts w:ascii="Times New Roman" w:eastAsia="Times New Roman" w:hAnsi="Times New Roman" w:cs="Times New Roman"/>
          <w:sz w:val="28"/>
          <w:szCs w:val="24"/>
        </w:rPr>
        <w:t>ите на Колежа за обучение по три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те специалности. Трябва да </w:t>
      </w:r>
      <w:r w:rsidR="00A63F01">
        <w:rPr>
          <w:rFonts w:ascii="Times New Roman" w:eastAsia="Times New Roman" w:hAnsi="Times New Roman" w:cs="Times New Roman"/>
          <w:sz w:val="28"/>
          <w:szCs w:val="24"/>
        </w:rPr>
        <w:t xml:space="preserve">се </w:t>
      </w:r>
      <w:r w:rsidR="00A63F01">
        <w:rPr>
          <w:rFonts w:ascii="Times New Roman" w:eastAsia="Times New Roman" w:hAnsi="Times New Roman" w:cs="Times New Roman"/>
          <w:sz w:val="28"/>
          <w:szCs w:val="24"/>
        </w:rPr>
        <w:lastRenderedPageBreak/>
        <w:t>отбележи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>, че научнат</w:t>
      </w:r>
      <w:r w:rsidR="00A63F01">
        <w:rPr>
          <w:rFonts w:ascii="Times New Roman" w:eastAsia="Times New Roman" w:hAnsi="Times New Roman" w:cs="Times New Roman"/>
          <w:sz w:val="28"/>
          <w:szCs w:val="24"/>
        </w:rPr>
        <w:t xml:space="preserve">а продукция на преподавателите 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от Колежа се обогатява постепенно, но все още не е достатъчна в сравнение с продукцията на преподавателите в останалите структурни звена на Университета. Това се обяснява с недостатъчния брой на </w:t>
      </w:r>
      <w:r w:rsidR="00A63F01">
        <w:rPr>
          <w:rFonts w:ascii="Times New Roman" w:eastAsia="Times New Roman" w:hAnsi="Times New Roman" w:cs="Times New Roman"/>
          <w:sz w:val="28"/>
          <w:szCs w:val="24"/>
        </w:rPr>
        <w:t xml:space="preserve">хабилитираните преподаватели 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>на основен трудов договор, както и с липсата на традиции по отношение на научната работа</w:t>
      </w:r>
      <w:r w:rsidR="00B10177">
        <w:rPr>
          <w:rFonts w:ascii="Times New Roman" w:eastAsia="Times New Roman" w:hAnsi="Times New Roman" w:cs="Times New Roman"/>
          <w:sz w:val="28"/>
          <w:szCs w:val="24"/>
        </w:rPr>
        <w:t xml:space="preserve"> в професионално направление „Здравни грижи“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840C0">
        <w:rPr>
          <w:rFonts w:ascii="Times New Roman" w:eastAsia="Times New Roman" w:hAnsi="Times New Roman" w:cs="Times New Roman"/>
          <w:sz w:val="28"/>
          <w:szCs w:val="24"/>
        </w:rPr>
        <w:t xml:space="preserve">Изискването за публикуване в реферирани и индексирани научни издания в научните бази данни </w:t>
      </w:r>
      <w:r w:rsidR="009840C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Scopus </w:t>
      </w:r>
      <w:r w:rsidR="009840C0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08210E">
        <w:rPr>
          <w:rFonts w:ascii="Times New Roman" w:eastAsia="Times New Roman" w:hAnsi="Times New Roman" w:cs="Times New Roman"/>
          <w:sz w:val="28"/>
          <w:szCs w:val="24"/>
          <w:lang w:val="en-US"/>
        </w:rPr>
        <w:t>Web Of Science</w:t>
      </w:r>
      <w:r w:rsidR="009840C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840C0">
        <w:rPr>
          <w:rFonts w:ascii="Times New Roman" w:eastAsia="Times New Roman" w:hAnsi="Times New Roman" w:cs="Times New Roman"/>
          <w:sz w:val="28"/>
          <w:szCs w:val="24"/>
        </w:rPr>
        <w:t xml:space="preserve">поставя високи критерии за публикуване и е предизвикателство пред преподавателите. 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С оглед на това, че изискванията непрекъснато се завишават е необходимо да се стимулира научната дейност, както сред преподавателите, така и сред студентите. </w:t>
      </w:r>
      <w:r w:rsidR="00587DF5">
        <w:rPr>
          <w:rFonts w:ascii="Times New Roman" w:eastAsia="Times New Roman" w:hAnsi="Times New Roman" w:cs="Times New Roman"/>
          <w:sz w:val="28"/>
          <w:szCs w:val="24"/>
        </w:rPr>
        <w:t>Всичко това е заложено и в критериите за програмна акредитация</w:t>
      </w:r>
      <w:r w:rsidR="00595D1A">
        <w:rPr>
          <w:rFonts w:ascii="Times New Roman" w:eastAsia="Times New Roman" w:hAnsi="Times New Roman" w:cs="Times New Roman"/>
          <w:sz w:val="28"/>
          <w:szCs w:val="24"/>
        </w:rPr>
        <w:t xml:space="preserve"> на специалностите</w:t>
      </w:r>
      <w:r w:rsidR="00587DF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2305" w:rsidRDefault="00E5397B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Забелязва се повишаване на студентската активност и участието им в научни форуми. </w:t>
      </w:r>
      <w:r w:rsidR="00EF2305" w:rsidRPr="00EF2305">
        <w:rPr>
          <w:rFonts w:ascii="Times New Roman" w:eastAsia="Times New Roman" w:hAnsi="Times New Roman" w:cs="Times New Roman"/>
          <w:sz w:val="28"/>
          <w:szCs w:val="24"/>
        </w:rPr>
        <w:t xml:space="preserve">Привличането на Колежа като партньор в реализирането на Проекти, финансирани от </w:t>
      </w:r>
      <w:r w:rsidR="00DD46B8">
        <w:rPr>
          <w:rFonts w:ascii="Times New Roman" w:eastAsia="Times New Roman" w:hAnsi="Times New Roman" w:cs="Times New Roman"/>
          <w:sz w:val="28"/>
          <w:szCs w:val="24"/>
        </w:rPr>
        <w:t xml:space="preserve">частни организации </w:t>
      </w:r>
      <w:r>
        <w:rPr>
          <w:rFonts w:ascii="Times New Roman" w:eastAsia="Times New Roman" w:hAnsi="Times New Roman" w:cs="Times New Roman"/>
          <w:sz w:val="28"/>
          <w:szCs w:val="24"/>
        </w:rPr>
        <w:t>дава</w:t>
      </w:r>
      <w:r w:rsidR="00EF2305" w:rsidRPr="00EF2305">
        <w:rPr>
          <w:rFonts w:ascii="Times New Roman" w:eastAsia="Times New Roman" w:hAnsi="Times New Roman" w:cs="Times New Roman"/>
          <w:sz w:val="28"/>
          <w:szCs w:val="24"/>
        </w:rPr>
        <w:t xml:space="preserve"> възможност и за в бъдеще да се включ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EF2305" w:rsidRPr="00EF2305">
        <w:rPr>
          <w:rFonts w:ascii="Times New Roman" w:eastAsia="Times New Roman" w:hAnsi="Times New Roman" w:cs="Times New Roman"/>
          <w:sz w:val="28"/>
          <w:szCs w:val="24"/>
        </w:rPr>
        <w:t xml:space="preserve">ат преподаватели и </w:t>
      </w:r>
      <w:r w:rsidR="00DD46B8">
        <w:rPr>
          <w:rFonts w:ascii="Times New Roman" w:eastAsia="Times New Roman" w:hAnsi="Times New Roman" w:cs="Times New Roman"/>
          <w:sz w:val="28"/>
          <w:szCs w:val="24"/>
        </w:rPr>
        <w:t>по-</w:t>
      </w:r>
      <w:r w:rsidR="00EF2305" w:rsidRPr="00EF2305">
        <w:rPr>
          <w:rFonts w:ascii="Times New Roman" w:eastAsia="Times New Roman" w:hAnsi="Times New Roman" w:cs="Times New Roman"/>
          <w:sz w:val="28"/>
          <w:szCs w:val="24"/>
        </w:rPr>
        <w:t xml:space="preserve">голям брой студенти от </w:t>
      </w:r>
      <w:r>
        <w:rPr>
          <w:rFonts w:ascii="Times New Roman" w:eastAsia="Times New Roman" w:hAnsi="Times New Roman" w:cs="Times New Roman"/>
          <w:sz w:val="28"/>
          <w:szCs w:val="24"/>
        </w:rPr>
        <w:t>Колежа</w:t>
      </w:r>
      <w:r w:rsidR="00EF2305" w:rsidRPr="00EF2305">
        <w:rPr>
          <w:rFonts w:ascii="Times New Roman" w:eastAsia="Times New Roman" w:hAnsi="Times New Roman" w:cs="Times New Roman"/>
          <w:sz w:val="28"/>
          <w:szCs w:val="24"/>
        </w:rPr>
        <w:t>. Стимулирането на научната дейност сред студентите е една от препоръките и на Експертните групи за акредитация.</w:t>
      </w:r>
    </w:p>
    <w:p w:rsidR="00537198" w:rsidRDefault="00537198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3313B" w:rsidRPr="00073EBF" w:rsidRDefault="0053313B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Табл.</w:t>
      </w:r>
      <w:r w:rsidR="00C650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</w:t>
      </w:r>
      <w:r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НАУЧНА ДЕЙНОСТ  </w:t>
      </w:r>
      <w:r w:rsidRPr="00073EBF">
        <w:rPr>
          <w:rFonts w:ascii="Times New Roman" w:eastAsia="Times New Roman" w:hAnsi="Times New Roman" w:cs="Times New Roman"/>
          <w:b/>
          <w:sz w:val="28"/>
          <w:szCs w:val="28"/>
        </w:rPr>
        <w:t>на преподавателите от МК</w:t>
      </w:r>
      <w:r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периода</w:t>
      </w:r>
      <w:r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01</w:t>
      </w:r>
      <w:r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371B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2017 – 30.04. 2018</w:t>
      </w:r>
      <w:r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година</w:t>
      </w:r>
    </w:p>
    <w:p w:rsidR="0053313B" w:rsidRPr="0053313B" w:rsidRDefault="0053313B" w:rsidP="007F40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47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740"/>
        <w:gridCol w:w="760"/>
        <w:gridCol w:w="520"/>
      </w:tblGrid>
      <w:tr w:rsidR="00371BDD" w:rsidRPr="00371BDD" w:rsidTr="00371BDD">
        <w:trPr>
          <w:trHeight w:val="399"/>
        </w:trPr>
        <w:tc>
          <w:tcPr>
            <w:tcW w:w="17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1.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Научни статии (само излезли от печат)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</w:tr>
      <w:tr w:rsidR="00371BDD" w:rsidRPr="00371BDD" w:rsidTr="00371BDD">
        <w:trPr>
          <w:trHeight w:val="3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 xml:space="preserve">В международни, </w:t>
            </w: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eastAsia="bg-BG"/>
              </w:rPr>
              <w:t xml:space="preserve">реферирани </w:t>
            </w: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 xml:space="preserve"> списания</w:t>
            </w:r>
          </w:p>
        </w:tc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color w:val="000000" w:themeColor="dark1"/>
                <w:kern w:val="24"/>
                <w:sz w:val="18"/>
                <w:szCs w:val="18"/>
                <w:lang w:val="en-US" w:eastAsia="bg-BG"/>
              </w:rPr>
              <w:t>15</w:t>
            </w:r>
          </w:p>
        </w:tc>
        <w:tc>
          <w:tcPr>
            <w:tcW w:w="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b/>
                <w:bCs/>
                <w:color w:val="FFFFFF" w:themeColor="light1"/>
                <w:kern w:val="24"/>
                <w:sz w:val="18"/>
                <w:szCs w:val="18"/>
                <w:lang w:eastAsia="bg-BG"/>
              </w:rPr>
              <w:t>15</w:t>
            </w:r>
          </w:p>
        </w:tc>
      </w:tr>
      <w:tr w:rsidR="00371BDD" w:rsidRPr="00371BDD" w:rsidTr="00371BDD">
        <w:trPr>
          <w:trHeight w:val="3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В национални списания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eastAsia="bg-BG"/>
              </w:rPr>
              <w:t>--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eastAsia="bg-BG"/>
              </w:rPr>
              <w:t>-</w:t>
            </w:r>
          </w:p>
        </w:tc>
      </w:tr>
      <w:tr w:rsidR="00371BDD" w:rsidRPr="00371BDD" w:rsidTr="00371BDD">
        <w:trPr>
          <w:trHeight w:val="3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В сборници от форуми в чужбина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Calibri" w:eastAsia="Calibri" w:hAnsi="Calibri" w:cs="Times New Roman"/>
                <w:color w:val="000000" w:themeColor="dark1"/>
                <w:kern w:val="24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bg-BG"/>
              </w:rPr>
              <w:t>30</w:t>
            </w:r>
          </w:p>
        </w:tc>
      </w:tr>
      <w:tr w:rsidR="00371BDD" w:rsidRPr="00371BDD" w:rsidTr="00371BDD">
        <w:trPr>
          <w:trHeight w:val="60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В сборници от национални форуми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Calibri" w:eastAsia="Calibri" w:hAnsi="Calibri" w:cs="Times New Roman"/>
                <w:color w:val="000000" w:themeColor="dark1"/>
                <w:kern w:val="24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bg-BG"/>
              </w:rPr>
              <w:t>2</w:t>
            </w:r>
          </w:p>
        </w:tc>
      </w:tr>
      <w:tr w:rsidR="00371BDD" w:rsidRPr="00371BDD" w:rsidTr="00371BDD">
        <w:trPr>
          <w:trHeight w:val="200"/>
        </w:trPr>
        <w:tc>
          <w:tcPr>
            <w:tcW w:w="17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2.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Цитати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 </w:t>
            </w: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bg-BG"/>
              </w:rPr>
              <w:t>25</w:t>
            </w:r>
          </w:p>
        </w:tc>
      </w:tr>
      <w:tr w:rsidR="00371BDD" w:rsidRPr="00371BDD" w:rsidTr="00371BDD">
        <w:trPr>
          <w:trHeight w:val="20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У нас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color w:val="000000" w:themeColor="dark1"/>
                <w:kern w:val="24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</w:tr>
      <w:tr w:rsidR="00371BDD" w:rsidRPr="00371BDD" w:rsidTr="00371BDD">
        <w:trPr>
          <w:trHeight w:val="20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В чужбина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color w:val="000000" w:themeColor="dark1"/>
                <w:kern w:val="24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</w:tr>
      <w:tr w:rsidR="00371BDD" w:rsidRPr="00371BDD" w:rsidTr="00371BDD">
        <w:trPr>
          <w:trHeight w:val="20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3.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Рецензии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eastAsia="bg-BG"/>
              </w:rPr>
              <w:t>12</w:t>
            </w: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</w:tr>
      <w:tr w:rsidR="00371BDD" w:rsidRPr="00371BDD" w:rsidTr="00371BDD">
        <w:trPr>
          <w:trHeight w:val="399"/>
        </w:trPr>
        <w:tc>
          <w:tcPr>
            <w:tcW w:w="17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4.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Участие в научни форуми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40 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</w:tr>
      <w:tr w:rsidR="00371BDD" w:rsidRPr="00371BDD" w:rsidTr="00371BDD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Международни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color w:val="000000" w:themeColor="dark1"/>
                <w:kern w:val="24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eastAsia="bg-BG"/>
              </w:rPr>
              <w:t>35</w:t>
            </w:r>
          </w:p>
        </w:tc>
      </w:tr>
      <w:tr w:rsidR="00371BDD" w:rsidRPr="00371BDD" w:rsidTr="00371BDD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Национални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color w:val="000000" w:themeColor="dark1"/>
                <w:kern w:val="24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eastAsiaTheme="minorEastAsia" w:hAnsi="Franklin Gothic Book"/>
                <w:b/>
                <w:bCs/>
                <w:color w:val="FFFFFF" w:themeColor="light1"/>
                <w:kern w:val="24"/>
                <w:sz w:val="18"/>
                <w:szCs w:val="18"/>
                <w:lang w:eastAsia="bg-BG"/>
              </w:rPr>
              <w:t>5</w:t>
            </w:r>
          </w:p>
        </w:tc>
      </w:tr>
      <w:tr w:rsidR="00371BDD" w:rsidRPr="00371BDD" w:rsidTr="00371BDD">
        <w:trPr>
          <w:trHeight w:val="2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71BDD" w:rsidRPr="00371BDD" w:rsidRDefault="00371BDD" w:rsidP="00371B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Университетски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</w:tr>
      <w:tr w:rsidR="00371BDD" w:rsidRPr="00371BDD" w:rsidTr="00371BDD">
        <w:trPr>
          <w:trHeight w:val="399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5.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Монографии и книги бр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</w:tr>
      <w:tr w:rsidR="00371BDD" w:rsidRPr="00371BDD" w:rsidTr="00371BDD">
        <w:trPr>
          <w:trHeight w:val="20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6.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Учебници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</w:tr>
      <w:tr w:rsidR="00371BDD" w:rsidRPr="00371BDD" w:rsidTr="00371BDD">
        <w:trPr>
          <w:trHeight w:val="603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7.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Научноприложни разработки и внедрявания бр.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</w:tr>
      <w:tr w:rsidR="00371BDD" w:rsidRPr="00371BDD" w:rsidTr="00371BDD">
        <w:trPr>
          <w:trHeight w:val="399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8.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eastAsia="bg-BG"/>
              </w:rPr>
              <w:t>Защитени дисертации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</w:tr>
      <w:tr w:rsidR="00371BDD" w:rsidRPr="00371BDD" w:rsidTr="00371BDD">
        <w:trPr>
          <w:trHeight w:val="305"/>
        </w:trPr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  <w:tc>
          <w:tcPr>
            <w:tcW w:w="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1BDD" w:rsidRPr="00371BDD" w:rsidRDefault="00371BDD" w:rsidP="00371BD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bg-BG"/>
              </w:rPr>
            </w:pPr>
            <w:r w:rsidRPr="00371BDD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18"/>
                <w:szCs w:val="18"/>
                <w:lang w:val="ru-RU" w:eastAsia="bg-BG"/>
              </w:rPr>
              <w:t> </w:t>
            </w:r>
          </w:p>
        </w:tc>
      </w:tr>
    </w:tbl>
    <w:p w:rsidR="002C6AE2" w:rsidRDefault="002C6AE2" w:rsidP="007F40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F4B" w:rsidRPr="00B62DE6" w:rsidRDefault="00C650B0" w:rsidP="00B62D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Табл. 3</w:t>
      </w:r>
      <w:r w:rsidR="00193F4B">
        <w:rPr>
          <w:rFonts w:ascii="Times New Roman" w:eastAsia="Calibri" w:hAnsi="Times New Roman" w:cs="Times New Roman"/>
          <w:b/>
          <w:sz w:val="28"/>
          <w:szCs w:val="28"/>
        </w:rPr>
        <w:t xml:space="preserve"> Научни проекти на МК  за </w:t>
      </w:r>
      <w:r w:rsidR="00371BDD"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периода</w:t>
      </w:r>
      <w:r w:rsidR="00371BDD"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1BDD"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01</w:t>
      </w:r>
      <w:r w:rsidR="00371BDD"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371B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2017 – 30.04. 2018</w:t>
      </w:r>
      <w:r w:rsidR="00371BDD" w:rsidRPr="0007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1BDD" w:rsidRPr="00073E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година</w:t>
      </w:r>
    </w:p>
    <w:tbl>
      <w:tblPr>
        <w:tblW w:w="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21"/>
      </w:tblGrid>
      <w:tr w:rsidR="00C92160" w:rsidRPr="007F71B3" w:rsidTr="00C92160">
        <w:trPr>
          <w:cantSplit/>
          <w:trHeight w:val="634"/>
          <w:jc w:val="center"/>
        </w:trPr>
        <w:tc>
          <w:tcPr>
            <w:tcW w:w="540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2160" w:rsidRPr="007F71B3" w:rsidRDefault="00C92160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92160" w:rsidRPr="007F71B3" w:rsidRDefault="00C92160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НАУЧНИ ПРОЕКТИ</w:t>
            </w:r>
          </w:p>
          <w:p w:rsidR="00C92160" w:rsidRPr="007F71B3" w:rsidRDefault="00C92160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160" w:rsidRPr="007F71B3" w:rsidRDefault="00C92160" w:rsidP="007F40F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МК-Ст.З</w:t>
            </w:r>
          </w:p>
        </w:tc>
      </w:tr>
      <w:tr w:rsidR="00C92160" w:rsidRPr="007F71B3" w:rsidTr="00C92160">
        <w:trPr>
          <w:trHeight w:val="310"/>
          <w:jc w:val="center"/>
        </w:trPr>
        <w:tc>
          <w:tcPr>
            <w:tcW w:w="5401" w:type="dxa"/>
            <w:shd w:val="clear" w:color="auto" w:fill="auto"/>
          </w:tcPr>
          <w:p w:rsidR="00C92160" w:rsidRPr="00E370FC" w:rsidRDefault="00C92160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Стартирали през периода Университетски научни проекти</w:t>
            </w:r>
          </w:p>
        </w:tc>
        <w:tc>
          <w:tcPr>
            <w:tcW w:w="821" w:type="dxa"/>
            <w:shd w:val="clear" w:color="auto" w:fill="auto"/>
          </w:tcPr>
          <w:p w:rsidR="00C92160" w:rsidRPr="00C92160" w:rsidRDefault="00C92160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370FC" w:rsidRPr="007F71B3" w:rsidTr="00C92160">
        <w:trPr>
          <w:trHeight w:val="302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Отчетени като междинни през периода Университетски научни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370FC" w:rsidRPr="007F71B3" w:rsidTr="00C92160">
        <w:trPr>
          <w:trHeight w:val="290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Отчетени като завършени през периода Университетски научни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370FC" w:rsidRPr="007F71B3" w:rsidTr="00C92160">
        <w:trPr>
          <w:trHeight w:val="302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Стартирали през периода Международни проекти</w:t>
            </w:r>
          </w:p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70FC" w:rsidRPr="007F71B3" w:rsidTr="00C92160">
        <w:trPr>
          <w:trHeight w:val="310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Отчетени като междинни през периода Международни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0FC" w:rsidRPr="007F71B3" w:rsidTr="00C92160">
        <w:trPr>
          <w:trHeight w:val="302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Отчетени като завършени през периода Международни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0FC" w:rsidRPr="007F71B3" w:rsidTr="00C92160">
        <w:trPr>
          <w:trHeight w:val="310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Стартирали през периода Национални проекти</w:t>
            </w:r>
          </w:p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70FC" w:rsidRPr="007F71B3" w:rsidTr="00C92160">
        <w:trPr>
          <w:trHeight w:val="302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Отчетени като междинни през периода Национални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0FC" w:rsidRPr="007F71B3" w:rsidTr="00C92160">
        <w:trPr>
          <w:trHeight w:val="330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Отчетени като завършени през периода  Национални проекти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0FC" w:rsidRPr="007F71B3" w:rsidTr="00C92160">
        <w:trPr>
          <w:trHeight w:val="159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Професори, участващи в проекти – бр.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70FC" w:rsidRPr="007F71B3" w:rsidTr="00C92160">
        <w:trPr>
          <w:trHeight w:val="151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Доценти, участващи в проекти – бр.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70FC" w:rsidRPr="007F71B3" w:rsidTr="00C92160">
        <w:trPr>
          <w:trHeight w:val="302"/>
          <w:jc w:val="center"/>
        </w:trPr>
        <w:tc>
          <w:tcPr>
            <w:tcW w:w="5401" w:type="dxa"/>
            <w:shd w:val="clear" w:color="auto" w:fill="auto"/>
          </w:tcPr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Асистенти, участващи в проекти – бр.</w:t>
            </w:r>
          </w:p>
          <w:p w:rsidR="00E370FC" w:rsidRPr="00E370FC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0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Преподаватели от МК, участващи в проекти – бр.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370FC" w:rsidRPr="007F71B3" w:rsidTr="00C92160">
        <w:trPr>
          <w:trHeight w:val="159"/>
          <w:jc w:val="center"/>
        </w:trPr>
        <w:tc>
          <w:tcPr>
            <w:tcW w:w="5401" w:type="dxa"/>
            <w:shd w:val="clear" w:color="auto" w:fill="auto"/>
          </w:tcPr>
          <w:p w:rsidR="00E370FC" w:rsidRPr="007F71B3" w:rsidRDefault="00E370FC" w:rsidP="007F4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Студенти, участващи в проекти – бр.</w:t>
            </w:r>
          </w:p>
        </w:tc>
        <w:tc>
          <w:tcPr>
            <w:tcW w:w="821" w:type="dxa"/>
            <w:shd w:val="clear" w:color="auto" w:fill="auto"/>
          </w:tcPr>
          <w:p w:rsidR="00E370FC" w:rsidRPr="00C92160" w:rsidRDefault="00E370F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C92160" w:rsidRDefault="00C92160" w:rsidP="007F4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160" w:rsidRPr="00C92160" w:rsidRDefault="004B7E29" w:rsidP="007F40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sz w:val="28"/>
          <w:szCs w:val="24"/>
        </w:rPr>
        <w:t>През последните години МК работи по университетски проекти, които дават възможност за реално използване на средствата за наука с оглед оптимизиране на обучението</w:t>
      </w:r>
      <w:r w:rsidR="003661ED">
        <w:rPr>
          <w:rFonts w:ascii="Times New Roman" w:eastAsia="Times New Roman" w:hAnsi="Times New Roman" w:cs="Times New Roman"/>
          <w:sz w:val="28"/>
          <w:szCs w:val="24"/>
        </w:rPr>
        <w:t>.</w:t>
      </w:r>
      <w:r w:rsidR="009E31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50B0">
        <w:rPr>
          <w:rFonts w:ascii="Times New Roman" w:eastAsia="Times New Roman" w:hAnsi="Times New Roman" w:cs="Times New Roman"/>
          <w:b/>
          <w:sz w:val="28"/>
          <w:szCs w:val="24"/>
        </w:rPr>
        <w:t>(Табл. 3</w:t>
      </w:r>
      <w:r w:rsidR="009E311B" w:rsidRPr="00AF67D1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3661ED" w:rsidRDefault="003661ED" w:rsidP="007F40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11CC">
        <w:rPr>
          <w:rFonts w:ascii="Times New Roman" w:eastAsia="Times New Roman" w:hAnsi="Times New Roman" w:cs="Times New Roman"/>
          <w:b/>
          <w:sz w:val="28"/>
          <w:szCs w:val="24"/>
        </w:rPr>
        <w:t>За 2017</w:t>
      </w:r>
      <w:r w:rsidRPr="00C92160">
        <w:rPr>
          <w:rFonts w:ascii="Times New Roman" w:eastAsia="Times New Roman" w:hAnsi="Times New Roman" w:cs="Times New Roman"/>
          <w:b/>
          <w:sz w:val="28"/>
          <w:szCs w:val="24"/>
        </w:rPr>
        <w:t xml:space="preserve"> г. МК има разработени и одобрени два научни проекта</w:t>
      </w:r>
      <w:r w:rsidR="00AC68C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r w:rsidR="00AC68CB">
        <w:rPr>
          <w:rFonts w:ascii="Times New Roman" w:eastAsia="Times New Roman" w:hAnsi="Times New Roman" w:cs="Times New Roman"/>
          <w:b/>
          <w:sz w:val="28"/>
          <w:szCs w:val="24"/>
        </w:rPr>
        <w:t>които са приключили успешно</w:t>
      </w:r>
      <w:r w:rsidRPr="00C92160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F111CC" w:rsidRPr="00F111CC" w:rsidRDefault="00F111CC" w:rsidP="00F11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1CC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bg-BG"/>
        </w:rPr>
        <w:t>Проект за финансиране на Юбилейна международна  научна конференция за преподаватели, студенти и специалисти по здравни и гериатрични грижи с международно участие:  „Стареене, здраве, гериатрични грижи”;</w:t>
      </w:r>
    </w:p>
    <w:p w:rsidR="00C650B0" w:rsidRDefault="00C650B0" w:rsidP="00F111CC">
      <w:pPr>
        <w:spacing w:line="360" w:lineRule="auto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bg-BG"/>
        </w:rPr>
      </w:pPr>
    </w:p>
    <w:p w:rsidR="00F111CC" w:rsidRPr="00C650B0" w:rsidRDefault="00F111CC" w:rsidP="00F111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50B0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bg-BG"/>
        </w:rPr>
        <w:t>Проект «Модернизиране на учебния процес чрез включване на интерактивна презентационна система в обучението на студентите от МК, Стара Загора»</w:t>
      </w:r>
      <w:r w:rsidRPr="00C650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bg-BG"/>
        </w:rPr>
        <w:t xml:space="preserve">  </w:t>
      </w:r>
    </w:p>
    <w:p w:rsidR="003661ED" w:rsidRDefault="00522255" w:rsidP="007F4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2160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Проект </w:t>
      </w:r>
      <w:r w:rsidR="003661ED" w:rsidRPr="00C92160">
        <w:rPr>
          <w:rFonts w:ascii="Times New Roman" w:hAnsi="Times New Roman" w:cs="Times New Roman"/>
          <w:b/>
          <w:i/>
          <w:sz w:val="24"/>
          <w:szCs w:val="24"/>
        </w:rPr>
        <w:t>на ТрУ по Програма  „Студентски практики“</w:t>
      </w:r>
      <w:r w:rsidR="003661ED">
        <w:rPr>
          <w:rFonts w:ascii="Times New Roman" w:hAnsi="Times New Roman" w:cs="Times New Roman"/>
          <w:sz w:val="24"/>
          <w:szCs w:val="24"/>
        </w:rPr>
        <w:t xml:space="preserve"> – 23 – рехабилитатори, 18 за лаборантии 4 за гериатрични специалисти. – общо 45, и </w:t>
      </w:r>
      <w:r w:rsidR="005F3034">
        <w:rPr>
          <w:rFonts w:ascii="Times New Roman" w:hAnsi="Times New Roman" w:cs="Times New Roman"/>
          <w:sz w:val="24"/>
          <w:szCs w:val="24"/>
        </w:rPr>
        <w:t>оше 5 свободни места</w:t>
      </w:r>
    </w:p>
    <w:p w:rsidR="00C92160" w:rsidRPr="00C92160" w:rsidRDefault="00C92160" w:rsidP="007F40F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93F4B" w:rsidRPr="00417F7C" w:rsidRDefault="00193F4B" w:rsidP="007F4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7C">
        <w:rPr>
          <w:rFonts w:ascii="Times New Roman" w:eastAsia="Calibri" w:hAnsi="Times New Roman" w:cs="Times New Roman"/>
          <w:sz w:val="28"/>
          <w:szCs w:val="28"/>
        </w:rPr>
        <w:t>Във връзка със стартирането на новия Програмен период 2020, се проучват активно възможностите за кандидатстване по подходящи програми и проекти.</w:t>
      </w:r>
    </w:p>
    <w:p w:rsidR="00253D21" w:rsidRDefault="00193F4B" w:rsidP="007F40F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7F7C">
        <w:rPr>
          <w:rFonts w:ascii="Times New Roman" w:eastAsia="Calibri" w:hAnsi="Times New Roman" w:cs="Times New Roman"/>
          <w:sz w:val="28"/>
          <w:szCs w:val="28"/>
        </w:rPr>
        <w:t xml:space="preserve">Продължава дейността по търсене на още партньори по различни международни програми. </w:t>
      </w:r>
    </w:p>
    <w:p w:rsidR="00253D21" w:rsidRPr="004B7E29" w:rsidRDefault="00253D21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sz w:val="28"/>
          <w:szCs w:val="24"/>
        </w:rPr>
        <w:lastRenderedPageBreak/>
        <w:t>Предстои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подписване на Договора за новите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 през тази година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7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който като колектив са включени всички преподаватели 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>, както студент</w:t>
      </w:r>
      <w:r>
        <w:rPr>
          <w:rFonts w:ascii="Times New Roman" w:eastAsia="Times New Roman" w:hAnsi="Times New Roman" w:cs="Times New Roman"/>
          <w:sz w:val="28"/>
          <w:szCs w:val="24"/>
        </w:rPr>
        <w:t>и от всяка специалност на МК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C650B0">
        <w:rPr>
          <w:rFonts w:ascii="Times New Roman" w:eastAsia="Times New Roman" w:hAnsi="Times New Roman" w:cs="Times New Roman"/>
          <w:b/>
          <w:sz w:val="28"/>
          <w:szCs w:val="24"/>
        </w:rPr>
        <w:t>(Табл. 4</w:t>
      </w:r>
      <w:r w:rsidR="00845072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193F4B" w:rsidRDefault="00193F4B" w:rsidP="007F40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61C" w:rsidRPr="0013461C" w:rsidRDefault="00C650B0" w:rsidP="007F40F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Табл. 4</w:t>
      </w:r>
      <w:r w:rsidR="0013461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13461C" w:rsidRPr="0013461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НАУЧНИ ПРОЕКТИ</w:t>
      </w:r>
      <w:r w:rsidR="002F53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в МК</w:t>
      </w:r>
      <w:r w:rsidR="0013461C" w:rsidRPr="0013461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КЛАСИРАНИ </w:t>
      </w:r>
      <w:r w:rsidR="002F5362" w:rsidRPr="0013461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ТРАКИЙСКИ УНИВЕРСИТЕТ </w:t>
      </w:r>
      <w:r w:rsidR="00645CA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  2017</w:t>
      </w:r>
      <w:r w:rsidR="0013461C" w:rsidRPr="0013461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660"/>
        <w:gridCol w:w="1459"/>
        <w:gridCol w:w="1600"/>
        <w:gridCol w:w="1767"/>
        <w:gridCol w:w="1499"/>
      </w:tblGrid>
      <w:tr w:rsidR="0013461C" w:rsidRPr="0013461C" w:rsidTr="002F5362">
        <w:trPr>
          <w:trHeight w:val="572"/>
        </w:trPr>
        <w:tc>
          <w:tcPr>
            <w:tcW w:w="1303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факултет</w:t>
            </w:r>
          </w:p>
        </w:tc>
        <w:tc>
          <w:tcPr>
            <w:tcW w:w="1660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Бр. представени проекти</w:t>
            </w:r>
          </w:p>
        </w:tc>
        <w:tc>
          <w:tcPr>
            <w:tcW w:w="1459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Бр. класирани проекти</w:t>
            </w:r>
          </w:p>
        </w:tc>
        <w:tc>
          <w:tcPr>
            <w:tcW w:w="1600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Класирани колективни проекти</w:t>
            </w:r>
          </w:p>
        </w:tc>
        <w:tc>
          <w:tcPr>
            <w:tcW w:w="1767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Класирани индивидулни проекти</w:t>
            </w:r>
          </w:p>
        </w:tc>
        <w:tc>
          <w:tcPr>
            <w:tcW w:w="1499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Обща стойност**</w:t>
            </w:r>
          </w:p>
        </w:tc>
      </w:tr>
      <w:tr w:rsidR="0013461C" w:rsidRPr="0013461C" w:rsidTr="002F5362">
        <w:trPr>
          <w:trHeight w:val="200"/>
        </w:trPr>
        <w:tc>
          <w:tcPr>
            <w:tcW w:w="1303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160">
              <w:rPr>
                <w:rFonts w:ascii="Times New Roman" w:eastAsia="Times New Roman" w:hAnsi="Times New Roman" w:cs="Times New Roman"/>
                <w:b/>
              </w:rPr>
              <w:t>МК</w:t>
            </w:r>
          </w:p>
        </w:tc>
        <w:tc>
          <w:tcPr>
            <w:tcW w:w="1660" w:type="dxa"/>
            <w:shd w:val="clear" w:color="auto" w:fill="auto"/>
          </w:tcPr>
          <w:p w:rsidR="0013461C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  <w:p w:rsidR="00C92160" w:rsidRPr="00C92160" w:rsidRDefault="00C92160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59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216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13461C" w:rsidRPr="00C92160" w:rsidRDefault="0013461C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99" w:type="dxa"/>
            <w:shd w:val="clear" w:color="auto" w:fill="auto"/>
          </w:tcPr>
          <w:p w:rsidR="0013461C" w:rsidRPr="00C92160" w:rsidRDefault="001B4D9D" w:rsidP="007F4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9 560</w:t>
            </w:r>
            <w:r w:rsidR="0013461C" w:rsidRPr="00C92160">
              <w:rPr>
                <w:rFonts w:ascii="Times New Roman" w:eastAsia="Times New Roman" w:hAnsi="Times New Roman" w:cs="Times New Roman"/>
                <w:b/>
              </w:rPr>
              <w:t xml:space="preserve"> лв.</w:t>
            </w:r>
          </w:p>
        </w:tc>
      </w:tr>
    </w:tbl>
    <w:p w:rsidR="000447B8" w:rsidRDefault="000447B8" w:rsidP="007F40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61C" w:rsidRPr="0013461C" w:rsidRDefault="0013461C" w:rsidP="007F40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3461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134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аучните форуми, проведени на територията на структурното звено по дати и заглавия</w:t>
      </w:r>
    </w:p>
    <w:p w:rsidR="001B5731" w:rsidRPr="001B5731" w:rsidRDefault="001B5731" w:rsidP="001B5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57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bg-BG"/>
        </w:rPr>
        <w:t xml:space="preserve">Юбилейна международна  научна конференция за преподаватели, студенти и специалисти по здравни и гериатрични грижи с международно участие:  „Стареене, здраве, гериатрични грижи” с участието на световни учени, проведена през май, 2017 г. </w:t>
      </w:r>
    </w:p>
    <w:p w:rsidR="00331E91" w:rsidRPr="001B5731" w:rsidRDefault="00331E91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ED" w:rsidRPr="009251ED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VІ. </w:t>
      </w:r>
      <w:r w:rsidRPr="009251ED">
        <w:rPr>
          <w:rFonts w:ascii="Times New Roman" w:eastAsia="Times New Roman" w:hAnsi="Times New Roman" w:cs="Times New Roman"/>
          <w:b/>
          <w:sz w:val="28"/>
          <w:szCs w:val="28"/>
        </w:rPr>
        <w:t>Международно сътрудничество</w:t>
      </w:r>
      <w:r w:rsidR="00E45373" w:rsidRPr="009251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мобилност</w:t>
      </w:r>
      <w:r w:rsidR="009251ED" w:rsidRPr="00925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1ED" w:rsidRPr="009251ED">
        <w:rPr>
          <w:rFonts w:ascii="Times New Roman" w:eastAsia="Calibri" w:hAnsi="Times New Roman" w:cs="Times New Roman"/>
          <w:b/>
          <w:bCs/>
          <w:sz w:val="28"/>
          <w:szCs w:val="28"/>
        </w:rPr>
        <w:t>на Медицински колеж на ТрУ</w:t>
      </w:r>
      <w:r w:rsidR="00C650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2017</w:t>
      </w:r>
      <w:r w:rsidR="00F616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r w:rsidR="009251E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251ED" w:rsidRPr="009251ED" w:rsidRDefault="009251ED" w:rsidP="007F4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5B97" w:rsidRDefault="004603D8" w:rsidP="007F4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Колежа </w:t>
      </w:r>
      <w:r w:rsidR="009251ED" w:rsidRPr="009251ED">
        <w:rPr>
          <w:rFonts w:ascii="Times New Roman" w:eastAsia="Times New Roman" w:hAnsi="Times New Roman" w:cs="Times New Roman"/>
          <w:sz w:val="28"/>
          <w:szCs w:val="28"/>
        </w:rPr>
        <w:t xml:space="preserve">се създадоха условия за разширяване на възможностите за развитие на </w:t>
      </w:r>
      <w:r w:rsidR="006F5B9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международното сътрудничество </w:t>
      </w:r>
      <w:r w:rsidR="009251ED" w:rsidRPr="009251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51ED" w:rsidRPr="009251ED">
        <w:rPr>
          <w:rFonts w:ascii="Times New Roman" w:eastAsia="Calibri" w:hAnsi="Times New Roman" w:cs="Times New Roman"/>
          <w:sz w:val="28"/>
          <w:szCs w:val="28"/>
        </w:rPr>
        <w:t>рез последните няколко години</w:t>
      </w:r>
      <w:r w:rsidR="0093792F">
        <w:rPr>
          <w:rFonts w:ascii="Times New Roman" w:eastAsia="Calibri" w:hAnsi="Times New Roman" w:cs="Times New Roman"/>
          <w:sz w:val="28"/>
          <w:szCs w:val="28"/>
        </w:rPr>
        <w:t>.</w:t>
      </w:r>
      <w:r w:rsidR="009251ED" w:rsidRPr="009251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1ED" w:rsidRPr="000123E4" w:rsidRDefault="0093792F" w:rsidP="007F40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Осъществени са</w:t>
      </w:r>
      <w:r w:rsidR="0001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1ED" w:rsidRPr="009251ED">
        <w:rPr>
          <w:rFonts w:ascii="Times New Roman" w:eastAsia="Calibri" w:hAnsi="Times New Roman" w:cs="Times New Roman"/>
          <w:sz w:val="28"/>
          <w:szCs w:val="28"/>
        </w:rPr>
        <w:t>нови международни контакти в рамките на Сект</w:t>
      </w:r>
      <w:r w:rsidR="0025291D">
        <w:rPr>
          <w:rFonts w:ascii="Times New Roman" w:eastAsia="Calibri" w:hAnsi="Times New Roman" w:cs="Times New Roman"/>
          <w:sz w:val="28"/>
          <w:szCs w:val="28"/>
        </w:rPr>
        <w:t>орн</w:t>
      </w:r>
      <w:r w:rsidR="000123E4">
        <w:rPr>
          <w:rFonts w:ascii="Times New Roman" w:eastAsia="Calibri" w:hAnsi="Times New Roman" w:cs="Times New Roman"/>
          <w:sz w:val="28"/>
          <w:szCs w:val="28"/>
        </w:rPr>
        <w:t xml:space="preserve">а програма ЕРАЗЪМ ПЛЮС </w:t>
      </w:r>
      <w:r w:rsidR="009251ED" w:rsidRPr="009251ED">
        <w:rPr>
          <w:rFonts w:ascii="Times New Roman" w:eastAsia="Calibri" w:hAnsi="Times New Roman" w:cs="Times New Roman"/>
          <w:sz w:val="28"/>
          <w:szCs w:val="28"/>
        </w:rPr>
        <w:t>с висши училища и бази от практикат</w:t>
      </w:r>
      <w:r w:rsidR="000123E4">
        <w:rPr>
          <w:rFonts w:ascii="Times New Roman" w:eastAsia="Calibri" w:hAnsi="Times New Roman" w:cs="Times New Roman"/>
          <w:sz w:val="28"/>
          <w:szCs w:val="28"/>
        </w:rPr>
        <w:t>а в държави от Европейски съюз и извън него -</w:t>
      </w:r>
      <w:r w:rsidR="009251ED" w:rsidRPr="009251ED">
        <w:rPr>
          <w:rFonts w:ascii="Times New Roman" w:eastAsia="Calibri" w:hAnsi="Times New Roman" w:cs="Times New Roman"/>
          <w:sz w:val="28"/>
          <w:szCs w:val="28"/>
        </w:rPr>
        <w:t>Турция и Македония.</w:t>
      </w:r>
    </w:p>
    <w:p w:rsidR="004603D8" w:rsidRDefault="00645CAF" w:rsidP="007F4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Сключен</w:t>
      </w:r>
      <w:r w:rsidR="0046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по програма Еразъм+  с Университета на Битоля, Македония</w:t>
      </w:r>
    </w:p>
    <w:p w:rsidR="004603D8" w:rsidRPr="00C650B0" w:rsidRDefault="004603D8" w:rsidP="00645C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D0">
        <w:rPr>
          <w:rFonts w:ascii="Times New Roman" w:hAnsi="Times New Roman" w:cs="Times New Roman"/>
          <w:b/>
          <w:sz w:val="24"/>
          <w:szCs w:val="24"/>
        </w:rPr>
        <w:t>Посещения на чужд</w:t>
      </w:r>
      <w:r>
        <w:rPr>
          <w:rFonts w:ascii="Times New Roman" w:hAnsi="Times New Roman" w:cs="Times New Roman"/>
          <w:b/>
          <w:sz w:val="24"/>
          <w:szCs w:val="24"/>
        </w:rPr>
        <w:t>естранни гости и делегации в тракийски университет по звена, в т.ч. и гост-лектори по</w:t>
      </w:r>
      <w:r w:rsidR="00C650B0">
        <w:rPr>
          <w:rFonts w:ascii="Times New Roman" w:hAnsi="Times New Roman" w:cs="Times New Roman"/>
          <w:b/>
          <w:sz w:val="24"/>
          <w:szCs w:val="24"/>
        </w:rPr>
        <w:t xml:space="preserve"> програма Еразъм и др. Програм  </w:t>
      </w:r>
      <w:r>
        <w:rPr>
          <w:rFonts w:ascii="Times New Roman" w:hAnsi="Times New Roman" w:cs="Times New Roman"/>
          <w:sz w:val="24"/>
          <w:szCs w:val="24"/>
        </w:rPr>
        <w:t xml:space="preserve">-   2 – ма  </w:t>
      </w:r>
      <w:r w:rsidR="00645CAF">
        <w:rPr>
          <w:rFonts w:ascii="Times New Roman" w:hAnsi="Times New Roman" w:cs="Times New Roman"/>
          <w:sz w:val="24"/>
          <w:szCs w:val="24"/>
        </w:rPr>
        <w:t>преподаватели от Париж и Берлин</w:t>
      </w:r>
    </w:p>
    <w:p w:rsidR="007766AB" w:rsidRDefault="007766AB" w:rsidP="007F4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9B" w:rsidRPr="00A16D19" w:rsidRDefault="00C650B0" w:rsidP="007766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Табл. 5</w:t>
      </w:r>
      <w:r w:rsidR="009764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69B" w:rsidRPr="00AE169B">
        <w:rPr>
          <w:rFonts w:ascii="Times New Roman" w:eastAsia="Calibri" w:hAnsi="Times New Roman" w:cs="Times New Roman"/>
          <w:b/>
          <w:sz w:val="28"/>
          <w:szCs w:val="28"/>
        </w:rPr>
        <w:t>Мобилност на преподавател</w:t>
      </w:r>
      <w:r w:rsidR="00A16D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E169B" w:rsidRPr="00AE169B">
        <w:rPr>
          <w:rFonts w:ascii="Times New Roman" w:eastAsia="Calibri" w:hAnsi="Times New Roman" w:cs="Times New Roman"/>
          <w:b/>
          <w:sz w:val="28"/>
          <w:szCs w:val="28"/>
        </w:rPr>
        <w:t xml:space="preserve"> и студенти</w:t>
      </w:r>
      <w:r w:rsidR="00A16D19">
        <w:rPr>
          <w:rFonts w:ascii="Times New Roman" w:eastAsia="Calibri" w:hAnsi="Times New Roman" w:cs="Times New Roman"/>
          <w:b/>
          <w:sz w:val="28"/>
          <w:szCs w:val="28"/>
        </w:rPr>
        <w:t xml:space="preserve"> от МК</w:t>
      </w:r>
      <w:r w:rsidR="00AE169B" w:rsidRPr="00AE16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47B8" w:rsidRPr="000447B8" w:rsidRDefault="00645CAF" w:rsidP="007F4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2017/20</w:t>
      </w:r>
      <w:r w:rsidR="00C650B0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8</w:t>
      </w:r>
      <w:r w:rsidR="000447B8" w:rsidRPr="000447B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Еразъм година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47B8" w:rsidTr="000447B8">
        <w:tc>
          <w:tcPr>
            <w:tcW w:w="4606" w:type="dxa"/>
          </w:tcPr>
          <w:p w:rsidR="000447B8" w:rsidRPr="000447B8" w:rsidRDefault="000447B8" w:rsidP="007F4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47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Студентска мобилност:</w:t>
            </w:r>
          </w:p>
          <w:p w:rsidR="000447B8" w:rsidRPr="000447B8" w:rsidRDefault="000447B8" w:rsidP="007F4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0447B8" w:rsidRPr="000447B8" w:rsidRDefault="000447B8" w:rsidP="00645C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Преподавателска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мобилност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0447B8" w:rsidTr="000447B8">
        <w:tc>
          <w:tcPr>
            <w:tcW w:w="4606" w:type="dxa"/>
          </w:tcPr>
          <w:p w:rsidR="000447B8" w:rsidRPr="000447B8" w:rsidRDefault="00645CAF" w:rsidP="00645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изходящи и 3 входящи</w:t>
            </w:r>
          </w:p>
        </w:tc>
        <w:tc>
          <w:tcPr>
            <w:tcW w:w="4606" w:type="dxa"/>
          </w:tcPr>
          <w:p w:rsidR="000447B8" w:rsidRPr="000447B8" w:rsidRDefault="00645CAF" w:rsidP="00645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изходящи и 1 входяща</w:t>
            </w:r>
          </w:p>
        </w:tc>
      </w:tr>
    </w:tbl>
    <w:p w:rsidR="00281714" w:rsidRDefault="00281714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2305" w:rsidRPr="00EF2305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VІІ. Административен състав.</w:t>
      </w:r>
    </w:p>
    <w:p w:rsidR="00EF2305" w:rsidRPr="00EF2305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Мотивиране на служителите за качествена дейност и отговорно отношение при обслужване на студенти, преподаватели и външни лица във връзка с учебната документация.</w:t>
      </w:r>
    </w:p>
    <w:p w:rsidR="00A40C31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По отношение на административния състав на Колежа, </w:t>
      </w:r>
      <w:r w:rsidR="002C4CE4">
        <w:rPr>
          <w:rFonts w:ascii="Times New Roman" w:eastAsia="Times New Roman" w:hAnsi="Times New Roman" w:cs="Times New Roman"/>
          <w:sz w:val="28"/>
          <w:szCs w:val="24"/>
        </w:rPr>
        <w:t xml:space="preserve">се извърши 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>преразглеждане и актуализиране на длъжностните характеристики, с прецизиране на отговорностите и задълженията</w:t>
      </w:r>
      <w:r w:rsidR="002D128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EF23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12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F2305" w:rsidRPr="00EF2305" w:rsidRDefault="002D1289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Актуализирано бе и щатното разсписание в Колежа.</w:t>
      </w:r>
    </w:p>
    <w:p w:rsidR="00EF2305" w:rsidRPr="00EF2305" w:rsidRDefault="00A40C31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Извършена е</w:t>
      </w:r>
      <w:r w:rsidR="00CE113F">
        <w:rPr>
          <w:rFonts w:ascii="Times New Roman" w:eastAsia="Times New Roman" w:hAnsi="Times New Roman" w:cs="Times New Roman"/>
          <w:sz w:val="28"/>
          <w:szCs w:val="24"/>
        </w:rPr>
        <w:t xml:space="preserve"> атестация на административния персонал през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март </w:t>
      </w:r>
      <w:r w:rsidR="00CE113F">
        <w:rPr>
          <w:rFonts w:ascii="Times New Roman" w:eastAsia="Times New Roman" w:hAnsi="Times New Roman" w:cs="Times New Roman"/>
          <w:sz w:val="28"/>
          <w:szCs w:val="24"/>
        </w:rPr>
        <w:t>2017 г.</w:t>
      </w:r>
      <w:r w:rsidR="0055643C">
        <w:rPr>
          <w:rFonts w:ascii="Times New Roman" w:eastAsia="Times New Roman" w:hAnsi="Times New Roman" w:cs="Times New Roman"/>
          <w:sz w:val="28"/>
          <w:szCs w:val="24"/>
        </w:rPr>
        <w:t xml:space="preserve"> Резултати са положителни и не за постъпили никакви жалби в тази връзка.</w:t>
      </w:r>
    </w:p>
    <w:p w:rsidR="00CE113F" w:rsidRDefault="00CE113F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3C90" w:rsidRPr="00B02CD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VІІІ.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ПЕРИОДА 01.02.2017 – 30.04.2018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Медицински колеж - Стара Загора прилага Националните счетоводни стандарти и специфичните указания на Министерство на Финансите за бюджетните предприятия в съотвествие с приетата Счетоводна политика на Тракийски университет. </w:t>
      </w:r>
    </w:p>
    <w:p w:rsidR="009C3C90" w:rsidRDefault="009C3C90" w:rsidP="009C3C9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val="ru-RU"/>
        </w:rPr>
      </w:pPr>
      <w:r>
        <w:rPr>
          <w:rFonts w:ascii="TimesNewRoman" w:eastAsia="Times New Roman" w:hAnsi="TimesNewRoman" w:cs="TimesNewRoman"/>
          <w:sz w:val="28"/>
          <w:szCs w:val="28"/>
          <w:lang w:val="ru-RU"/>
        </w:rPr>
        <w:t>Финансово-икономическото състояние на колежа за отчетния период е стабилно и обезпечава нормалното функциониране на учебния процес.</w:t>
      </w:r>
    </w:p>
    <w:p w:rsidR="009C3C90" w:rsidRDefault="009C3C90" w:rsidP="009C3C9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val="ru-RU"/>
        </w:rPr>
      </w:pPr>
      <w:r>
        <w:rPr>
          <w:rFonts w:ascii="TimesNewRoman" w:eastAsia="Times New Roman" w:hAnsi="TimesNewRoman" w:cs="TimesNewRoman"/>
          <w:sz w:val="28"/>
          <w:szCs w:val="28"/>
          <w:lang w:val="ru-RU"/>
        </w:rPr>
        <w:t xml:space="preserve">Приходите на Медицински колеж в съответствие със самостоятелния бюджет за посочения период са отчетени съобразно изискванията на </w:t>
      </w:r>
      <w:r>
        <w:rPr>
          <w:rFonts w:ascii="TimesNewRoman" w:eastAsia="Times New Roman" w:hAnsi="TimesNewRoman" w:cs="TimesNewRoman"/>
          <w:sz w:val="28"/>
          <w:szCs w:val="28"/>
          <w:lang w:val="ru-RU"/>
        </w:rPr>
        <w:lastRenderedPageBreak/>
        <w:t>действащата Счетоводна политика и Счетоводни стандрти и указания, като същите са оформени законосъобразно и са подписвани от съответните материално отговорни и длъжностни лица.</w:t>
      </w:r>
    </w:p>
    <w:p w:rsidR="009C3C90" w:rsidRDefault="009C3C90" w:rsidP="009C3C9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val="ru-RU"/>
        </w:rPr>
      </w:pPr>
      <w:r>
        <w:rPr>
          <w:rFonts w:ascii="TimesNewRoman" w:eastAsia="Times New Roman" w:hAnsi="TimesNewRoman" w:cs="TimesNewRoman"/>
          <w:sz w:val="28"/>
          <w:szCs w:val="28"/>
          <w:lang w:val="ru-RU"/>
        </w:rPr>
        <w:t>Извършените разходи в изпълнение на самостоятелния бюжет са документирани съобразно изискванията на СФУК.  Направените разходи са целесъобразни и са в съответствие с бюджетната рамка за съответната година, целите и задачите на колежа.</w:t>
      </w:r>
    </w:p>
    <w:p w:rsidR="009C3C90" w:rsidRPr="004C19E4" w:rsidRDefault="009C3C90" w:rsidP="009C3C9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val="ru-RU"/>
        </w:rPr>
      </w:pPr>
      <w:r>
        <w:rPr>
          <w:rFonts w:ascii="TimesNewRoman" w:eastAsia="Times New Roman" w:hAnsi="TimesNewRoman" w:cs="TimesNewRoman"/>
          <w:sz w:val="28"/>
          <w:szCs w:val="28"/>
          <w:lang w:val="ru-RU"/>
        </w:rPr>
        <w:t>Доставените дълготрайни и материални активи са приети и заведени на съответните материално отговорни лица. Придобитите материални запаси, които са определени да се водят на особен отчет са заведени задбалансово на съответните материални отговорни лица.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І. Приходи за дейността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5072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Приходната част на Самостоятелният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 на Медицински колеж се формира от средства от държавния бюджет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от собствени приходи. 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Държавната субсидия се формира от броя на студентите, умножена по определената от правителството сума за издръжка на един студент и съответния коефициент по професионални направления. 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Собствените приходи са от такси за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такси от административни услуги и наем.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Реализираните собствени приходи през отчетния период са дадени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92160">
        <w:rPr>
          <w:rFonts w:ascii="Times New Roman" w:eastAsia="Times New Roman" w:hAnsi="Times New Roman" w:cs="Times New Roman"/>
          <w:b/>
          <w:sz w:val="28"/>
          <w:szCs w:val="28"/>
        </w:rPr>
        <w:t>аб</w:t>
      </w:r>
      <w:r w:rsidR="00C650B0">
        <w:rPr>
          <w:rFonts w:ascii="Times New Roman" w:eastAsia="Times New Roman" w:hAnsi="Times New Roman" w:cs="Times New Roman"/>
          <w:b/>
          <w:sz w:val="28"/>
          <w:szCs w:val="28"/>
        </w:rPr>
        <w:t>л. 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3C90" w:rsidRPr="00D43AAC" w:rsidRDefault="009C3C90" w:rsidP="009C3C9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C90" w:rsidRDefault="00C650B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 6</w:t>
      </w:r>
      <w:r w:rsidR="009C3C90" w:rsidRPr="000C5D3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Приходи за </w:t>
      </w:r>
      <w:r w:rsidR="009C3C90">
        <w:rPr>
          <w:rFonts w:ascii="Times New Roman" w:eastAsia="Times New Roman" w:hAnsi="Times New Roman" w:cs="Times New Roman"/>
          <w:b/>
          <w:sz w:val="28"/>
          <w:szCs w:val="28"/>
        </w:rPr>
        <w:t>отчетния период</w:t>
      </w:r>
    </w:p>
    <w:p w:rsidR="009C3C90" w:rsidRPr="000C5D3E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5390"/>
        <w:gridCol w:w="1040"/>
      </w:tblGrid>
      <w:tr w:rsidR="009C3C90" w:rsidRPr="007B25CA" w:rsidTr="00E2169B">
        <w:trPr>
          <w:trHeight w:val="138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 </w:t>
            </w:r>
          </w:p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3C90" w:rsidRPr="009640C2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bg-BG"/>
              </w:rPr>
            </w:pPr>
            <w:r w:rsidRPr="009640C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bg-BG"/>
              </w:rPr>
              <w:t>I. П Р И Х О Д И,  П О М О Щ И   И   Д А Р Е Н И 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 xml:space="preserve">Отчет в лв. за периода 01.02.2017 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lastRenderedPageBreak/>
              <w:t>-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0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04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.201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8</w:t>
            </w:r>
          </w:p>
        </w:tc>
      </w:tr>
      <w:tr w:rsidR="009C3C90" w:rsidRPr="007B25CA" w:rsidTr="00E2169B">
        <w:trPr>
          <w:trHeight w:val="315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b/>
                <w:bCs/>
                <w:color w:val="0000FF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0000FF"/>
                <w:sz w:val="20"/>
                <w:szCs w:val="20"/>
                <w:lang w:eastAsia="bg-BG"/>
              </w:rPr>
              <w:lastRenderedPageBreak/>
              <w:t>Приходи и доходи от собственост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color w:val="0000FF"/>
                <w:sz w:val="24"/>
                <w:szCs w:val="24"/>
                <w:lang w:eastAsia="bg-BG"/>
              </w:rPr>
              <w:t>245100</w:t>
            </w:r>
          </w:p>
        </w:tc>
      </w:tr>
      <w:tr w:rsidR="009C3C90" w:rsidRPr="007B25CA" w:rsidTr="00E2169B">
        <w:trPr>
          <w:trHeight w:val="63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24-04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нетни приходи от продажби на 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услуги, стоки и продукция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  <w:t>242429</w:t>
            </w:r>
          </w:p>
        </w:tc>
      </w:tr>
      <w:tr w:rsidR="009C3C90" w:rsidRPr="007B25CA" w:rsidTr="00E2169B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24-05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приходи от 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наеми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  <w:t>2671</w:t>
            </w:r>
          </w:p>
        </w:tc>
      </w:tr>
      <w:tr w:rsidR="009C3C90" w:rsidRPr="007B25CA" w:rsidTr="00E2169B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28-02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</w:pPr>
            <w:r w:rsidRPr="003357A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bg-BG"/>
              </w:rPr>
              <w:t>глоби</w:t>
            </w:r>
            <w:r w:rsidRPr="003357AF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,</w:t>
            </w:r>
            <w:r w:rsidRPr="003357A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357AF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санкции, неустойки, наказателни лихви, обезщетения и начети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C90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  <w:t>31</w:t>
            </w:r>
          </w:p>
        </w:tc>
      </w:tr>
      <w:tr w:rsidR="009C3C90" w:rsidRPr="007B25CA" w:rsidTr="00E2169B">
        <w:trPr>
          <w:trHeight w:val="63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24-08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приходи от 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лихви</w:t>
            </w: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 по текущи банкови 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сметки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9C3C90" w:rsidRPr="007B25CA" w:rsidTr="00E2169B">
        <w:trPr>
          <w:trHeight w:val="315"/>
          <w:jc w:val="center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b/>
                <w:bCs/>
                <w:color w:val="0000FF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0000FF"/>
                <w:sz w:val="20"/>
                <w:szCs w:val="20"/>
                <w:lang w:eastAsia="bg-BG"/>
              </w:rPr>
              <w:t xml:space="preserve">Внесени ДДС и други данъци върху продажбите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color w:val="0000FF"/>
                <w:sz w:val="24"/>
                <w:szCs w:val="24"/>
                <w:lang w:eastAsia="bg-BG"/>
              </w:rPr>
              <w:t>121</w:t>
            </w:r>
          </w:p>
        </w:tc>
      </w:tr>
      <w:tr w:rsidR="009C3C90" w:rsidRPr="007B25CA" w:rsidTr="00E2169B">
        <w:trPr>
          <w:trHeight w:val="9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37-02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внесен </w:t>
            </w:r>
            <w:r w:rsidRPr="007B25C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bg-BG"/>
              </w:rPr>
              <w:t>данък върху приходите от стопанска дейност</w:t>
            </w:r>
            <w:r w:rsidRPr="007B25CA">
              <w:rPr>
                <w:rFonts w:ascii="Times New Roman CYR" w:eastAsia="Times New Roman" w:hAnsi="Times New Roman CYR" w:cs="Times New Roman"/>
                <w:sz w:val="20"/>
                <w:szCs w:val="20"/>
                <w:lang w:eastAsia="bg-BG"/>
              </w:rPr>
              <w:t xml:space="preserve"> на бюджетните предприятия (-)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bg-BG"/>
              </w:rPr>
              <w:t>121</w:t>
            </w:r>
          </w:p>
        </w:tc>
      </w:tr>
      <w:tr w:rsidR="009C3C90" w:rsidRPr="007B25CA" w:rsidTr="00E2169B">
        <w:trPr>
          <w:trHeight w:val="33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800000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800000"/>
                <w:sz w:val="20"/>
                <w:szCs w:val="20"/>
                <w:lang w:eastAsia="bg-BG"/>
              </w:rPr>
              <w:t>99-99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</w:pP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I. ОБЩО ПРИХОДИ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C3C90" w:rsidRPr="007B25CA" w:rsidRDefault="009C3C90" w:rsidP="00E2169B">
            <w:pPr>
              <w:spacing w:after="0" w:line="36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bg-BG"/>
              </w:rPr>
              <w:t>249290</w:t>
            </w:r>
          </w:p>
        </w:tc>
      </w:tr>
    </w:tbl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ІІ. РАЗХОДИ ЗА ДЕЙНОСТТА:</w:t>
      </w:r>
    </w:p>
    <w:p w:rsidR="009C3C90" w:rsidRDefault="009C3C90" w:rsidP="009C3C90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Определените по бюджета средства са за възнаграждения на персонала по трудови правоотношение и социални осигуровки на щатния и нещатен персонал,  за текуща издръжка на обучението и за капиталови разходи.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Трудовите възнаграждения на персонала по трудови правоотношения и на извън щатния персонал, са начислявани и изплащани редовно в рамките на месеца за койте се отнасят. Установените със закон осигурителни вноски върху фонд работна заплата и здравните осигуровки на студентите са отчетани своевременно като трансфер.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През отчетния период напълно са задоволени нуждите на персонала от канцеларски материали, други малоценни и малотрайни предмети, работно облекло и др. Достатъчно средства са отделени за отопление, осветление, горива, външни услуги.   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Учебната  дейност  е обезпечена с всичко необходимо за нормалното протичане на учебния процес. Учебните зали са снабдени с модерна компютърна и мултимедийна техника.</w:t>
      </w:r>
    </w:p>
    <w:p w:rsidR="009C3C90" w:rsidRDefault="009C3C90" w:rsidP="00265B2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Самостоятелният бюджет и неговото касово изпълнение е съставен от две дейности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дейност 334</w:t>
      </w:r>
      <w:r w:rsidRPr="00130C29">
        <w:rPr>
          <w:rFonts w:ascii="Times New Roman" w:eastAsia="Times New Roman" w:hAnsi="Times New Roman" w:cs="Times New Roman"/>
          <w:sz w:val="28"/>
          <w:szCs w:val="28"/>
          <w:lang w:val="ru-RU"/>
        </w:rPr>
        <w:t>1 Академии, университети и висши училища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дейност 3349 </w:t>
      </w:r>
      <w:r w:rsidRPr="00130C29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Приложни научни изследвания в областта на образованиет</w:t>
      </w:r>
      <w:r w:rsidR="00265B29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Извършените касови разходи общо за двете дейности по основните разходни пера са дадени в </w:t>
      </w:r>
      <w:r w:rsidR="00C650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Табл. 7</w:t>
      </w:r>
      <w:r w:rsidRPr="00CD2B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650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Табл. 8</w:t>
      </w:r>
      <w:r w:rsidRPr="00CD2B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C3C90" w:rsidRDefault="00C650B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Табл. 7</w:t>
      </w:r>
      <w:r w:rsidR="009C3C90" w:rsidRPr="000C5D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Разходи за дейността</w:t>
      </w:r>
      <w:r w:rsidR="009C3C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 отчетния период</w:t>
      </w:r>
    </w:p>
    <w:tbl>
      <w:tblPr>
        <w:tblW w:w="59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43"/>
        <w:gridCol w:w="1082"/>
      </w:tblGrid>
      <w:tr w:rsidR="009C3C90" w:rsidRPr="00130C29" w:rsidTr="00E2169B">
        <w:trPr>
          <w:trHeight w:val="1489"/>
        </w:trPr>
        <w:tc>
          <w:tcPr>
            <w:tcW w:w="851" w:type="dxa"/>
            <w:shd w:val="clear" w:color="auto" w:fill="F2F2F2" w:themeFill="background1" w:themeFillShade="F2"/>
          </w:tcPr>
          <w:p w:rsidR="009C3C90" w:rsidRPr="00130C29" w:rsidRDefault="009C3C90" w:rsidP="00E216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color w:val="800000"/>
                <w:sz w:val="24"/>
                <w:szCs w:val="24"/>
                <w:lang w:eastAsia="bg-BG"/>
              </w:rPr>
            </w:pPr>
          </w:p>
        </w:tc>
        <w:tc>
          <w:tcPr>
            <w:tcW w:w="4043" w:type="dxa"/>
            <w:shd w:val="clear" w:color="auto" w:fill="F2F2F2" w:themeFill="background1" w:themeFillShade="F2"/>
            <w:vAlign w:val="center"/>
            <w:hideMark/>
          </w:tcPr>
          <w:p w:rsidR="009C3C90" w:rsidRPr="00130C29" w:rsidRDefault="009C3C90" w:rsidP="00E2169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800000"/>
                <w:sz w:val="24"/>
                <w:szCs w:val="24"/>
                <w:lang w:eastAsia="bg-BG"/>
              </w:rPr>
            </w:pPr>
            <w:r w:rsidRPr="00130C29">
              <w:rPr>
                <w:rFonts w:eastAsia="Times New Roman" w:cs="Times New Roman"/>
                <w:bCs/>
                <w:color w:val="800000"/>
                <w:sz w:val="24"/>
                <w:szCs w:val="24"/>
                <w:lang w:eastAsia="bg-BG"/>
              </w:rPr>
              <w:t xml:space="preserve">Разходни </w:t>
            </w:r>
            <w:r w:rsidRPr="00130C29">
              <w:rPr>
                <w:rFonts w:ascii="Times New Roman CYR" w:eastAsia="Times New Roman" w:hAnsi="Times New Roman CYR" w:cs="Times New Roman"/>
                <w:bCs/>
                <w:color w:val="800000"/>
                <w:sz w:val="20"/>
                <w:szCs w:val="20"/>
                <w:lang w:eastAsia="bg-BG"/>
              </w:rPr>
              <w:t>параграфи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  <w:hideMark/>
          </w:tcPr>
          <w:p w:rsidR="009C3C90" w:rsidRPr="007B25CA" w:rsidRDefault="009C3C90" w:rsidP="00E216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Отчет в лв. за периода 01.02.2017 -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0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04</w:t>
            </w:r>
            <w:r w:rsidRPr="007B25C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.201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8</w:t>
            </w:r>
          </w:p>
        </w:tc>
      </w:tr>
      <w:tr w:rsidR="009C3C90" w:rsidRPr="00130C29" w:rsidTr="00E2169B">
        <w:trPr>
          <w:trHeight w:val="743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01-00</w:t>
            </w:r>
          </w:p>
        </w:tc>
        <w:tc>
          <w:tcPr>
            <w:tcW w:w="4043" w:type="dxa"/>
            <w:shd w:val="clear" w:color="000000" w:fill="FFFFCC"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427 051</w:t>
            </w:r>
          </w:p>
        </w:tc>
      </w:tr>
      <w:tr w:rsidR="009C3C90" w:rsidRPr="00130C29" w:rsidTr="00E2169B">
        <w:trPr>
          <w:trHeight w:val="605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02-00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Други възнаграждения и плащания за персонала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59 235</w:t>
            </w:r>
          </w:p>
        </w:tc>
      </w:tr>
      <w:tr w:rsidR="009C3C90" w:rsidRPr="00130C29" w:rsidTr="00E2169B">
        <w:trPr>
          <w:trHeight w:val="573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05-00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Задължителни осигурителни вноски от работодатели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82 438</w:t>
            </w:r>
          </w:p>
        </w:tc>
      </w:tr>
      <w:tr w:rsidR="009C3C90" w:rsidRPr="00130C29" w:rsidTr="00E2169B">
        <w:trPr>
          <w:trHeight w:val="315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10-00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Издръжка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216 554</w:t>
            </w:r>
          </w:p>
        </w:tc>
      </w:tr>
      <w:tr w:rsidR="009C3C90" w:rsidRPr="00130C29" w:rsidTr="00E2169B">
        <w:trPr>
          <w:trHeight w:val="548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19-00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Платени данъци, такси и административни санкции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618</w:t>
            </w:r>
          </w:p>
        </w:tc>
      </w:tr>
      <w:tr w:rsidR="009C3C90" w:rsidRPr="00130C29" w:rsidTr="00E2169B">
        <w:trPr>
          <w:trHeight w:val="528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52-00</w:t>
            </w:r>
          </w:p>
        </w:tc>
        <w:tc>
          <w:tcPr>
            <w:tcW w:w="4043" w:type="dxa"/>
            <w:shd w:val="clear" w:color="000000" w:fill="FFFFCC"/>
            <w:noWrap/>
            <w:vAlign w:val="bottom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Придобиване на дълготрайни материални активи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29 203</w:t>
            </w:r>
          </w:p>
        </w:tc>
      </w:tr>
      <w:tr w:rsidR="009C3C90" w:rsidRPr="00130C29" w:rsidTr="00E2169B">
        <w:trPr>
          <w:trHeight w:val="528"/>
        </w:trPr>
        <w:tc>
          <w:tcPr>
            <w:tcW w:w="851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4043" w:type="dxa"/>
            <w:shd w:val="clear" w:color="000000" w:fill="FFFFCC"/>
            <w:noWrap/>
            <w:vAlign w:val="bottom"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9640C2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II. ОБЩО РАЗХОДИ РЕКАПИТУЛАЦИЯ</w:t>
            </w:r>
          </w:p>
        </w:tc>
        <w:tc>
          <w:tcPr>
            <w:tcW w:w="1082" w:type="dxa"/>
            <w:shd w:val="clear" w:color="000000" w:fill="FFFFCC"/>
            <w:noWrap/>
            <w:vAlign w:val="center"/>
          </w:tcPr>
          <w:p w:rsidR="009C3C90" w:rsidRPr="009F68CB" w:rsidRDefault="009C3C90" w:rsidP="00E2169B">
            <w:pPr>
              <w:jc w:val="right"/>
              <w:rPr>
                <w:b/>
                <w:bCs/>
                <w:color w:val="800000"/>
              </w:rPr>
            </w:pPr>
            <w:r w:rsidRPr="009F68CB">
              <w:rPr>
                <w:b/>
                <w:bCs/>
                <w:color w:val="800000"/>
              </w:rPr>
              <w:t>815 099</w:t>
            </w:r>
          </w:p>
        </w:tc>
      </w:tr>
    </w:tbl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Default="00C650B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 8</w:t>
      </w:r>
      <w:r w:rsidR="009C3C90" w:rsidRPr="00236B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Разходи за наука</w:t>
      </w:r>
      <w:r w:rsidR="009C3C90" w:rsidRPr="00236B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 дейност 3349 Приложни научни изследвания в областта на образованието</w:t>
      </w:r>
    </w:p>
    <w:tbl>
      <w:tblPr>
        <w:tblW w:w="59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043"/>
        <w:gridCol w:w="1147"/>
      </w:tblGrid>
      <w:tr w:rsidR="009C3C90" w:rsidRPr="007B25CA" w:rsidTr="00E2169B">
        <w:trPr>
          <w:trHeight w:val="1226"/>
        </w:trPr>
        <w:tc>
          <w:tcPr>
            <w:tcW w:w="764" w:type="dxa"/>
            <w:shd w:val="clear" w:color="auto" w:fill="F2F2F2" w:themeFill="background1" w:themeFillShade="F2"/>
          </w:tcPr>
          <w:p w:rsidR="009C3C90" w:rsidRPr="00130C29" w:rsidRDefault="009C3C90" w:rsidP="00E216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color w:val="800000"/>
                <w:sz w:val="24"/>
                <w:szCs w:val="24"/>
                <w:lang w:eastAsia="bg-BG"/>
              </w:rPr>
            </w:pPr>
          </w:p>
        </w:tc>
        <w:tc>
          <w:tcPr>
            <w:tcW w:w="4043" w:type="dxa"/>
            <w:shd w:val="clear" w:color="auto" w:fill="F2F2F2" w:themeFill="background1" w:themeFillShade="F2"/>
            <w:vAlign w:val="center"/>
            <w:hideMark/>
          </w:tcPr>
          <w:p w:rsidR="009C3C90" w:rsidRPr="00130C29" w:rsidRDefault="009C3C90" w:rsidP="00E2169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800000"/>
                <w:sz w:val="24"/>
                <w:szCs w:val="24"/>
                <w:lang w:eastAsia="bg-BG"/>
              </w:rPr>
            </w:pPr>
            <w:r w:rsidRPr="00130C29">
              <w:rPr>
                <w:rFonts w:eastAsia="Times New Roman" w:cs="Times New Roman"/>
                <w:bCs/>
                <w:color w:val="800000"/>
                <w:sz w:val="24"/>
                <w:szCs w:val="24"/>
                <w:lang w:eastAsia="bg-BG"/>
              </w:rPr>
              <w:t xml:space="preserve">Разходни </w:t>
            </w:r>
            <w:r w:rsidRPr="00130C29">
              <w:rPr>
                <w:rFonts w:ascii="Times New Roman CYR" w:eastAsia="Times New Roman" w:hAnsi="Times New Roman CYR" w:cs="Times New Roman"/>
                <w:bCs/>
                <w:color w:val="800000"/>
                <w:sz w:val="20"/>
                <w:szCs w:val="20"/>
                <w:lang w:eastAsia="bg-BG"/>
              </w:rPr>
              <w:t>параграфи</w:t>
            </w:r>
          </w:p>
        </w:tc>
        <w:tc>
          <w:tcPr>
            <w:tcW w:w="1147" w:type="dxa"/>
            <w:shd w:val="clear" w:color="auto" w:fill="F2F2F2" w:themeFill="background1" w:themeFillShade="F2"/>
            <w:hideMark/>
          </w:tcPr>
          <w:p w:rsidR="009C3C90" w:rsidRDefault="009C3C90" w:rsidP="00E2169B">
            <w:pPr>
              <w:jc w:val="center"/>
            </w:pPr>
            <w:r w:rsidRPr="007530D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 xml:space="preserve">Отчет </w:t>
            </w:r>
            <w:r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 xml:space="preserve">в лв. </w:t>
            </w:r>
            <w:r w:rsidRPr="007530DA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за периода 01.02.2017 -30.04.2018</w:t>
            </w:r>
          </w:p>
        </w:tc>
      </w:tr>
      <w:tr w:rsidR="009C3C90" w:rsidTr="00E2169B">
        <w:trPr>
          <w:trHeight w:val="315"/>
        </w:trPr>
        <w:tc>
          <w:tcPr>
            <w:tcW w:w="764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10-00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Издръжка</w:t>
            </w:r>
          </w:p>
        </w:tc>
        <w:tc>
          <w:tcPr>
            <w:tcW w:w="1147" w:type="dxa"/>
            <w:shd w:val="clear" w:color="000000" w:fill="FFFFCC"/>
            <w:noWrap/>
            <w:vAlign w:val="center"/>
          </w:tcPr>
          <w:p w:rsidR="009C3C90" w:rsidRDefault="009C3C90" w:rsidP="00E2169B">
            <w:pPr>
              <w:jc w:val="right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200</w:t>
            </w:r>
          </w:p>
        </w:tc>
      </w:tr>
      <w:tr w:rsidR="009C3C90" w:rsidTr="00E2169B">
        <w:trPr>
          <w:trHeight w:val="315"/>
        </w:trPr>
        <w:tc>
          <w:tcPr>
            <w:tcW w:w="764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05-00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Задължителни осигурителни вноски от работодатели</w:t>
            </w:r>
          </w:p>
        </w:tc>
        <w:tc>
          <w:tcPr>
            <w:tcW w:w="1147" w:type="dxa"/>
            <w:shd w:val="clear" w:color="000000" w:fill="FFFFCC"/>
            <w:noWrap/>
            <w:vAlign w:val="center"/>
          </w:tcPr>
          <w:p w:rsidR="009C3C90" w:rsidRDefault="009C3C90" w:rsidP="00E2169B">
            <w:pPr>
              <w:jc w:val="right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17</w:t>
            </w:r>
          </w:p>
        </w:tc>
      </w:tr>
      <w:tr w:rsidR="009C3C90" w:rsidTr="00E2169B">
        <w:trPr>
          <w:trHeight w:val="315"/>
        </w:trPr>
        <w:tc>
          <w:tcPr>
            <w:tcW w:w="764" w:type="dxa"/>
            <w:shd w:val="clear" w:color="000000" w:fill="FFFFCC"/>
            <w:vAlign w:val="center"/>
          </w:tcPr>
          <w:p w:rsidR="009C3C90" w:rsidRPr="00130C29" w:rsidRDefault="009C3C90" w:rsidP="00E2169B">
            <w:pPr>
              <w:jc w:val="right"/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/>
                <w:bCs/>
                <w:color w:val="800000"/>
                <w:sz w:val="20"/>
                <w:szCs w:val="20"/>
              </w:rPr>
              <w:t>10-00</w:t>
            </w: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Pr="00130C29" w:rsidRDefault="009C3C90" w:rsidP="00E2169B">
            <w:pPr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</w:pPr>
            <w:r w:rsidRPr="00130C29">
              <w:rPr>
                <w:rFonts w:ascii="Times New Roman CYR" w:hAnsi="Times New Roman CYR"/>
                <w:bCs/>
                <w:color w:val="800000"/>
                <w:sz w:val="20"/>
                <w:szCs w:val="20"/>
              </w:rPr>
              <w:t>Издръжка</w:t>
            </w:r>
          </w:p>
        </w:tc>
        <w:tc>
          <w:tcPr>
            <w:tcW w:w="1147" w:type="dxa"/>
            <w:shd w:val="clear" w:color="000000" w:fill="FFFFCC"/>
            <w:noWrap/>
            <w:vAlign w:val="center"/>
          </w:tcPr>
          <w:p w:rsidR="009C3C90" w:rsidRDefault="009C3C90" w:rsidP="00E2169B">
            <w:pPr>
              <w:jc w:val="right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7 919</w:t>
            </w:r>
          </w:p>
        </w:tc>
      </w:tr>
      <w:tr w:rsidR="009C3C90" w:rsidTr="00E2169B">
        <w:trPr>
          <w:trHeight w:val="548"/>
        </w:trPr>
        <w:tc>
          <w:tcPr>
            <w:tcW w:w="764" w:type="dxa"/>
            <w:shd w:val="clear" w:color="000000" w:fill="FFFFCC"/>
            <w:vAlign w:val="center"/>
          </w:tcPr>
          <w:p w:rsidR="009C3C90" w:rsidRDefault="009C3C90" w:rsidP="00E2169B">
            <w:pPr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4043" w:type="dxa"/>
            <w:shd w:val="clear" w:color="000000" w:fill="FFFFCC"/>
            <w:noWrap/>
            <w:vAlign w:val="center"/>
            <w:hideMark/>
          </w:tcPr>
          <w:p w:rsidR="009C3C90" w:rsidRDefault="009C3C90" w:rsidP="00E216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0C2">
              <w:rPr>
                <w:rFonts w:ascii="Times New Roman CYR" w:eastAsia="Times New Roman" w:hAnsi="Times New Roman CYR" w:cs="Times New Roman"/>
                <w:b/>
                <w:bCs/>
                <w:color w:val="800000"/>
                <w:sz w:val="20"/>
                <w:szCs w:val="20"/>
                <w:lang w:eastAsia="bg-BG"/>
              </w:rPr>
              <w:t>II. ОБЩО РАЗХОДИ РЕКАПИТУЛАЦИЯ</w:t>
            </w:r>
          </w:p>
        </w:tc>
        <w:tc>
          <w:tcPr>
            <w:tcW w:w="1147" w:type="dxa"/>
            <w:shd w:val="clear" w:color="000000" w:fill="FFFFCC"/>
            <w:noWrap/>
            <w:vAlign w:val="center"/>
          </w:tcPr>
          <w:p w:rsidR="009C3C90" w:rsidRDefault="009C3C90" w:rsidP="00E2169B">
            <w:pPr>
              <w:jc w:val="right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>8 136</w:t>
            </w:r>
          </w:p>
        </w:tc>
      </w:tr>
    </w:tbl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Посочени разходи са във връзка с одобрени, финансирани и изпълнявани 4 Проекта:</w:t>
      </w:r>
    </w:p>
    <w:p w:rsidR="009C3C90" w:rsidRDefault="009C3C90" w:rsidP="009C3C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F60">
        <w:rPr>
          <w:rFonts w:ascii="Times New Roman" w:eastAsia="Times New Roman" w:hAnsi="Times New Roman" w:cs="Times New Roman"/>
          <w:sz w:val="28"/>
          <w:szCs w:val="28"/>
        </w:rPr>
        <w:t xml:space="preserve">Прилагане на комплекс от мероприятия за подобряване на колаборацията на Медицински колеж към Тракийски университет - Стара Загора, с учебно-практическите бази с ръководител – проф. Д. Сиврев, </w:t>
      </w:r>
    </w:p>
    <w:p w:rsidR="009C3C90" w:rsidRDefault="009C3C90" w:rsidP="009C3C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F60">
        <w:rPr>
          <w:rFonts w:ascii="Times New Roman" w:eastAsia="Times New Roman" w:hAnsi="Times New Roman" w:cs="Times New Roman"/>
          <w:sz w:val="28"/>
          <w:szCs w:val="28"/>
        </w:rPr>
        <w:t>За финансиране на научен форум на тема: 10 години специалност „Медицински лаборант” в „Медицински колеж” с ръководител доц. В. Цонева.</w:t>
      </w:r>
    </w:p>
    <w:p w:rsidR="009C3C90" w:rsidRDefault="009C3C90" w:rsidP="009C3C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EF">
        <w:rPr>
          <w:rFonts w:ascii="Times New Roman" w:eastAsia="Times New Roman" w:hAnsi="Times New Roman" w:cs="Times New Roman"/>
          <w:sz w:val="28"/>
          <w:szCs w:val="28"/>
        </w:rPr>
        <w:t>Модернизиране на учебния процес чрез включване на интерактивна презентационна система в обучението на студентите от Медицински колеж - Стара Загора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ръководител доц. Кремена Митева.</w:t>
      </w:r>
    </w:p>
    <w:p w:rsidR="009C3C90" w:rsidRDefault="009C3C90" w:rsidP="009C3C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подпомагане на разходите във връзка с </w:t>
      </w:r>
      <w:r w:rsidRPr="00DA7EEF">
        <w:rPr>
          <w:rFonts w:ascii="Times New Roman" w:eastAsia="Times New Roman" w:hAnsi="Times New Roman" w:cs="Times New Roman"/>
          <w:sz w:val="28"/>
          <w:szCs w:val="28"/>
        </w:rPr>
        <w:t xml:space="preserve">Научна 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7EE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 участие за преподаватели, студенти, професионалисти по здравни грижи и специалисти в областта на гериатрията и</w:t>
      </w:r>
      <w:r w:rsidRPr="00DA7EEF">
        <w:t xml:space="preserve"> </w:t>
      </w:r>
      <w:r w:rsidRPr="00DA7EEF">
        <w:rPr>
          <w:rFonts w:ascii="Times New Roman" w:eastAsia="Times New Roman" w:hAnsi="Times New Roman" w:cs="Times New Roman"/>
          <w:sz w:val="28"/>
          <w:szCs w:val="28"/>
        </w:rPr>
        <w:t>геронтологията „СТАРЕЕНЕ, ЗДРАВЕ, ГЕРИАТРИЧНИ ГРИЖИ"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ръководител проф. Христина Милчева.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Pr="00C650B0" w:rsidRDefault="009C3C90" w:rsidP="00C65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 отчетния период за извършени капиталови разходи общо и по вид както следва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3C90" w:rsidRPr="0006296A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Pr="00264968" w:rsidRDefault="00C650B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 9</w:t>
      </w:r>
      <w:r w:rsidR="009C3C90" w:rsidRPr="00264968">
        <w:rPr>
          <w:rFonts w:ascii="Times New Roman" w:eastAsia="Times New Roman" w:hAnsi="Times New Roman" w:cs="Times New Roman"/>
          <w:b/>
          <w:sz w:val="28"/>
          <w:szCs w:val="28"/>
        </w:rPr>
        <w:t xml:space="preserve"> Капиталови разходи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подобряване на качеството на учебния процес по акредитираните специалности в колежа са закупени дълготрайни материални активи, както следва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Default="004A4E4F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 9</w:t>
      </w:r>
      <w:r w:rsidR="009C3C90" w:rsidRPr="00264968">
        <w:rPr>
          <w:rFonts w:ascii="Times New Roman" w:eastAsia="Times New Roman" w:hAnsi="Times New Roman" w:cs="Times New Roman"/>
          <w:b/>
          <w:sz w:val="28"/>
          <w:szCs w:val="28"/>
        </w:rPr>
        <w:t xml:space="preserve"> Дълготрайни материални активи</w:t>
      </w:r>
    </w:p>
    <w:tbl>
      <w:tblPr>
        <w:tblW w:w="8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080"/>
        <w:gridCol w:w="820"/>
        <w:gridCol w:w="1400"/>
      </w:tblGrid>
      <w:tr w:rsidR="009C3C90" w:rsidRPr="00597BE5" w:rsidTr="00E2169B">
        <w:trPr>
          <w:trHeight w:val="9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от 01.12.2017- 30.04.2018 год.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 лв.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Кол.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Стойност в лв.</w:t>
            </w:r>
          </w:p>
        </w:tc>
      </w:tr>
      <w:tr w:rsidR="009C3C90" w:rsidRPr="00597BE5" w:rsidTr="00E2169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Капиталови разходи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3991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&amp;52-00 Придобиване на ДМА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29203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&amp;5201 Придобиване на комп.и хардуер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11824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Компютърни конфигурации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4008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Лазерен принтер цветен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1148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Система за обучение- 1 приемник с 36 броя кликери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6668.00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&amp;5203 Придобив. на обор.,маш. и съоръж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14960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Манекен скелет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Манекен задни части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1320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Манекен за стома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Автоклав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4200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Центрофуга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97B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97B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2 400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Климатик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97B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97BE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2 720</w:t>
            </w:r>
          </w:p>
        </w:tc>
      </w:tr>
      <w:tr w:rsidR="009C3C90" w:rsidRPr="00597BE5" w:rsidTr="00E2169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&amp;5205 Придоб на стоп.инвентар.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97BE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97B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2 419</w:t>
            </w:r>
          </w:p>
        </w:tc>
      </w:tr>
      <w:tr w:rsidR="009C3C90" w:rsidRPr="00597BE5" w:rsidTr="00E216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C3C90" w:rsidRPr="00597BE5" w:rsidRDefault="009C3C90" w:rsidP="00E2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Обзавеждане клин. Лаборатория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7B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2419</w:t>
            </w:r>
          </w:p>
        </w:tc>
      </w:tr>
    </w:tbl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C90" w:rsidRPr="003577E8" w:rsidRDefault="009C3C90" w:rsidP="003577E8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Освен посоченото по-горе обзавеждане на Клинична лаборатория е доставен стопански инвентар завежден като материали общо в размер на 13786 лв.</w:t>
      </w:r>
    </w:p>
    <w:p w:rsidR="009C3C90" w:rsidRPr="00C650B0" w:rsidRDefault="009C3C90" w:rsidP="00C650B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Доставени са и учебни пособия и материал за практическото обучение през отчетния период., както следва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3C90" w:rsidRPr="00183468" w:rsidRDefault="004A4E4F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Табл. 10</w:t>
      </w:r>
      <w:r w:rsidR="009C3C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C90" w:rsidRPr="00183468">
        <w:rPr>
          <w:rFonts w:ascii="Times New Roman" w:eastAsia="Times New Roman" w:hAnsi="Times New Roman" w:cs="Times New Roman"/>
          <w:b/>
          <w:sz w:val="32"/>
          <w:szCs w:val="28"/>
        </w:rPr>
        <w:t>Материали и пособия за практическото обучение</w:t>
      </w:r>
    </w:p>
    <w:tbl>
      <w:tblPr>
        <w:tblW w:w="793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1701"/>
      </w:tblGrid>
      <w:tr w:rsidR="009C3C90" w:rsidRPr="00183468" w:rsidTr="00E2169B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гръбнаци с разглобяем таз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горен крайник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долен крайник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мултивенозна ръка за венозни пункции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Манекен за стома- опростен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Документна 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0" w:rsidRDefault="009C3C90" w:rsidP="00E2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 дъска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</w:t>
            </w:r>
          </w:p>
        </w:tc>
      </w:tr>
      <w:tr w:rsidR="009C3C90" w:rsidRPr="00183468" w:rsidTr="00E2169B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90" w:rsidRDefault="009C3C90" w:rsidP="00E216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Всичко: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Default="009C3C90" w:rsidP="00E216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97BE5" w:rsidRDefault="009C3C90" w:rsidP="00E2169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97BE5">
              <w:rPr>
                <w:rFonts w:ascii="Calibri" w:hAnsi="Calibri"/>
                <w:b/>
                <w:color w:val="000000"/>
              </w:rPr>
              <w:t>7055</w:t>
            </w:r>
          </w:p>
        </w:tc>
      </w:tr>
    </w:tbl>
    <w:p w:rsidR="009C3C90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Default="009C3C90" w:rsidP="00C650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Pr="00264968" w:rsidRDefault="009C3C90" w:rsidP="009C3C9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968">
        <w:rPr>
          <w:rFonts w:ascii="Times New Roman" w:eastAsia="Times New Roman" w:hAnsi="Times New Roman" w:cs="Times New Roman"/>
          <w:b/>
          <w:sz w:val="28"/>
          <w:szCs w:val="28"/>
        </w:rPr>
        <w:t>Разпределени по специалности:</w:t>
      </w: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специалност „</w:t>
      </w:r>
      <w:r w:rsidRPr="005249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Медицински лаборант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” са закупени следните  дълготрайни материални активи и материални запаси:</w:t>
      </w: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7011" w:type="dxa"/>
        <w:tblInd w:w="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100"/>
        <w:gridCol w:w="580"/>
        <w:gridCol w:w="900"/>
      </w:tblGrid>
      <w:tr w:rsidR="009C3C90" w:rsidRPr="004C17AE" w:rsidTr="00E2169B">
        <w:trPr>
          <w:trHeight w:val="7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Стойност в лв.</w:t>
            </w:r>
          </w:p>
        </w:tc>
      </w:tr>
      <w:tr w:rsidR="009C3C90" w:rsidRPr="005D30C6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Компютърна  конфигурация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1336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мултивенозна ръка за венозни пункции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1080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Автоклав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4200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Центрофуга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Обзавеждане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1080</w:t>
            </w:r>
          </w:p>
        </w:tc>
      </w:tr>
    </w:tbl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 специалност „</w:t>
      </w:r>
      <w:r w:rsidRPr="005249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Рехабилитатор”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 закупени следните дълготрайни материални активи и материални запаси:</w:t>
      </w:r>
    </w:p>
    <w:tbl>
      <w:tblPr>
        <w:tblW w:w="7011" w:type="dxa"/>
        <w:tblInd w:w="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100"/>
        <w:gridCol w:w="580"/>
        <w:gridCol w:w="900"/>
      </w:tblGrid>
      <w:tr w:rsidR="009C3C90" w:rsidRPr="004C17AE" w:rsidTr="00E2169B">
        <w:trPr>
          <w:trHeight w:val="7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Стойност в лв.</w:t>
            </w:r>
          </w:p>
        </w:tc>
      </w:tr>
      <w:tr w:rsidR="009C3C90" w:rsidRPr="005D30C6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Манекен скелет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1500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горен крайник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624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долен крайник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972</w:t>
            </w: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гръбнаци с разглобяем таз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432</w:t>
            </w:r>
          </w:p>
        </w:tc>
      </w:tr>
    </w:tbl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C90" w:rsidRDefault="009C3C90" w:rsidP="009C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 специалност „</w:t>
      </w:r>
      <w:r w:rsidRPr="005249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Гериатрични грижи”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 закупени следните дълготрайни материални активи и материални запаси:</w:t>
      </w:r>
    </w:p>
    <w:tbl>
      <w:tblPr>
        <w:tblW w:w="8320" w:type="dxa"/>
        <w:tblInd w:w="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100"/>
        <w:gridCol w:w="580"/>
        <w:gridCol w:w="900"/>
        <w:gridCol w:w="1309"/>
      </w:tblGrid>
      <w:tr w:rsidR="009C3C90" w:rsidRPr="004C17AE" w:rsidTr="00E2169B">
        <w:trPr>
          <w:trHeight w:val="7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C17A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Стойност в лв.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90" w:rsidRPr="004C17AE" w:rsidRDefault="009C3C90" w:rsidP="00E21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3C90" w:rsidRPr="005D30C6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Лазерен принтер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30C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1148,00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90" w:rsidRPr="005D30C6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задни части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1320.00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за стома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2820.00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C3C90" w:rsidRPr="005801A4" w:rsidTr="00E2169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3C90" w:rsidRPr="005801A4" w:rsidRDefault="009C3C90" w:rsidP="00E216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Манекен мултивенозна ръка за венозни пункции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C90" w:rsidRPr="005801A4" w:rsidRDefault="009C3C90" w:rsidP="00E216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90" w:rsidRDefault="009C3C90" w:rsidP="009C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През отчетния период са извършени </w:t>
      </w:r>
      <w:r>
        <w:rPr>
          <w:rFonts w:ascii="Times New Roman" w:eastAsia="Times New Roman" w:hAnsi="Times New Roman" w:cs="Times New Roman"/>
          <w:sz w:val="28"/>
          <w:szCs w:val="28"/>
        </w:rPr>
        <w:t>текущи ремонт през периода общо в размер на 35 900 лв. по обекти както следва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C3C90" w:rsidRDefault="009C3C90" w:rsidP="009C3C9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 ремонт на учебна зала №1, съблекални </w:t>
      </w:r>
    </w:p>
    <w:p w:rsidR="009C3C90" w:rsidRDefault="009C3C90" w:rsidP="009C3C9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 ремонт на учебна зала № 2</w:t>
      </w:r>
    </w:p>
    <w:p w:rsidR="009C3C90" w:rsidRPr="005E3A1B" w:rsidRDefault="009C3C90" w:rsidP="009C3C9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 ремонт на служебен паркинг</w:t>
      </w:r>
    </w:p>
    <w:p w:rsidR="00654A21" w:rsidRDefault="00654A21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2305" w:rsidRPr="00EF2305" w:rsidRDefault="0005036C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635D">
        <w:rPr>
          <w:rFonts w:ascii="Times New Roman" w:eastAsia="Times New Roman" w:hAnsi="Times New Roman" w:cs="Times New Roman"/>
          <w:b/>
          <w:sz w:val="28"/>
          <w:szCs w:val="24"/>
        </w:rPr>
        <w:t>І</w:t>
      </w:r>
      <w:r w:rsidR="00EF2305" w:rsidRPr="00C7635D">
        <w:rPr>
          <w:rFonts w:ascii="Times New Roman" w:eastAsia="Times New Roman" w:hAnsi="Times New Roman" w:cs="Times New Roman"/>
          <w:b/>
          <w:sz w:val="28"/>
          <w:szCs w:val="24"/>
        </w:rPr>
        <w:t>Х</w:t>
      </w:r>
      <w:r w:rsidR="00EF2305" w:rsidRPr="00EF2305">
        <w:rPr>
          <w:rFonts w:ascii="Times New Roman" w:eastAsia="Times New Roman" w:hAnsi="Times New Roman" w:cs="Times New Roman"/>
          <w:b/>
          <w:sz w:val="28"/>
          <w:szCs w:val="24"/>
        </w:rPr>
        <w:t>. Библиотека.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b/>
          <w:sz w:val="28"/>
          <w:szCs w:val="28"/>
        </w:rPr>
        <w:t>Библиотечната дейност в Медицински колеж</w:t>
      </w:r>
      <w:r w:rsidRPr="003577E8">
        <w:rPr>
          <w:rFonts w:ascii="Times New Roman" w:hAnsi="Times New Roman" w:cs="Times New Roman"/>
          <w:sz w:val="28"/>
          <w:szCs w:val="28"/>
        </w:rPr>
        <w:t xml:space="preserve"> обезпечава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 xml:space="preserve">учебния процес по отношение на информационната база и подходящи учебни пособия 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77E8">
        <w:rPr>
          <w:rFonts w:ascii="Times New Roman" w:hAnsi="Times New Roman" w:cs="Times New Roman"/>
          <w:sz w:val="28"/>
          <w:szCs w:val="28"/>
        </w:rPr>
        <w:t>учебници, ръководства,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>специализирана медицинска литература,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>списания и др.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3577E8">
        <w:rPr>
          <w:rFonts w:ascii="Times New Roman" w:hAnsi="Times New Roman" w:cs="Times New Roman"/>
          <w:sz w:val="28"/>
          <w:szCs w:val="28"/>
        </w:rPr>
        <w:t xml:space="preserve"> необходими за провеждане на теоретично  и практическо обучение на студентите.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Библиотеката на Медицински колеж е разположена на площ около 55 кв.м.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Обособена е и читалня, която се обнови като цяло. Нова масивна маса с 12 читателски места, като </w:t>
      </w:r>
      <w:r w:rsidRPr="00B62D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четири</w:t>
      </w:r>
      <w:r w:rsidRPr="003577E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от тях са компютаризирани. През учебната 2017-2018 година, три от компютрите се подмениха с нови . 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В момента </w:t>
      </w:r>
      <w:r w:rsidRPr="003577E8">
        <w:rPr>
          <w:rFonts w:ascii="Times New Roman" w:hAnsi="Times New Roman" w:cs="Times New Roman"/>
          <w:b/>
          <w:sz w:val="28"/>
          <w:szCs w:val="28"/>
        </w:rPr>
        <w:t xml:space="preserve">библиотеката разполага  с около </w:t>
      </w:r>
      <w:r w:rsidR="00B62DE6">
        <w:rPr>
          <w:rFonts w:ascii="Times New Roman" w:hAnsi="Times New Roman" w:cs="Times New Roman"/>
          <w:b/>
          <w:sz w:val="28"/>
          <w:szCs w:val="28"/>
        </w:rPr>
        <w:t>7</w:t>
      </w:r>
      <w:r w:rsidRPr="003577E8">
        <w:rPr>
          <w:rFonts w:ascii="Times New Roman" w:hAnsi="Times New Roman" w:cs="Times New Roman"/>
          <w:b/>
          <w:sz w:val="28"/>
          <w:szCs w:val="28"/>
        </w:rPr>
        <w:t xml:space="preserve">700 тома книги - </w:t>
      </w:r>
      <w:r w:rsidRPr="003577E8">
        <w:rPr>
          <w:rFonts w:ascii="Times New Roman" w:hAnsi="Times New Roman" w:cs="Times New Roman"/>
          <w:sz w:val="28"/>
          <w:szCs w:val="28"/>
        </w:rPr>
        <w:t xml:space="preserve"> </w:t>
      </w:r>
      <w:r w:rsidRPr="00B6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4324 </w:t>
      </w:r>
      <w:r w:rsidRPr="003577E8">
        <w:rPr>
          <w:rFonts w:ascii="Times New Roman" w:hAnsi="Times New Roman" w:cs="Times New Roman"/>
          <w:sz w:val="28"/>
          <w:szCs w:val="28"/>
        </w:rPr>
        <w:t xml:space="preserve">от тях са специализирана медицинска литература. Изграден е </w:t>
      </w:r>
      <w:r w:rsidRPr="003577E8">
        <w:rPr>
          <w:rFonts w:ascii="Times New Roman" w:hAnsi="Times New Roman" w:cs="Times New Roman"/>
          <w:b/>
          <w:sz w:val="28"/>
          <w:szCs w:val="28"/>
        </w:rPr>
        <w:t>електронен</w:t>
      </w:r>
      <w:r w:rsidRPr="003577E8">
        <w:rPr>
          <w:rFonts w:ascii="Times New Roman" w:hAnsi="Times New Roman" w:cs="Times New Roman"/>
          <w:sz w:val="28"/>
          <w:szCs w:val="28"/>
        </w:rPr>
        <w:t xml:space="preserve"> </w:t>
      </w:r>
      <w:r w:rsidRPr="003577E8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3577E8">
        <w:rPr>
          <w:rFonts w:ascii="Times New Roman" w:hAnsi="Times New Roman" w:cs="Times New Roman"/>
          <w:sz w:val="28"/>
          <w:szCs w:val="28"/>
        </w:rPr>
        <w:t xml:space="preserve">, който улеснява търсенето на необходимата литература от преподаватели и студенти. За отчетния период са </w:t>
      </w:r>
      <w:r w:rsidRPr="00B6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регистрирани </w:t>
      </w:r>
      <w:r w:rsidR="00B62DE6" w:rsidRPr="00B6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DE6">
        <w:rPr>
          <w:rFonts w:ascii="Times New Roman" w:hAnsi="Times New Roman" w:cs="Times New Roman"/>
          <w:color w:val="000000" w:themeColor="text1"/>
          <w:sz w:val="28"/>
          <w:szCs w:val="28"/>
        </w:rPr>
        <w:t>212</w:t>
      </w:r>
      <w:r w:rsidRPr="00B62D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>читатели-студенти и 19 преподаватели. Заета е 2700 тома литература. Библиотеката обслужва не само студенти и преподавате от МК и Унивирситета , но и външни и читатели.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>Книжния фонд се е обновява непрекъсната в съотвествие с учебните програми за трите специалности. Непрекъснато се допълва фонда за новата специалност „Гериатрични  грижи „  в направление Здравни грижи.</w:t>
      </w:r>
      <w:r w:rsidRPr="0035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 xml:space="preserve"> 60 тома е</w:t>
      </w:r>
      <w:r w:rsidRPr="0035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 xml:space="preserve">новопъспътилата  медицинска </w:t>
      </w:r>
      <w:r w:rsidRPr="00357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>литература. Набавена с покупка и дарение от преподаватели на колежа и Централна университетска библиотека при Тракийски университет . По някой от изучаваните дисциплини материалът необходим за подготовката студентите е  не само на хартиен но и на електронен носител. Това са по следните изучавани предмети: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>анатомия на човека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>латински език с медицинска терминология /на английски език/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>двигателни нарушения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>нервни болести / паркинсонов синдром,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физиология 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социална работа </w:t>
      </w:r>
    </w:p>
    <w:p w:rsidR="00075B80" w:rsidRPr="003577E8" w:rsidRDefault="00075B80" w:rsidP="00075B8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массажа Большая книга / класический, лечебный, тайский, релаксационный </w:t>
      </w:r>
    </w:p>
    <w:p w:rsidR="00075B80" w:rsidRPr="003577E8" w:rsidRDefault="00075B80" w:rsidP="00075B80">
      <w:pPr>
        <w:pStyle w:val="a9"/>
        <w:spacing w:line="360" w:lineRule="auto"/>
        <w:rPr>
          <w:sz w:val="28"/>
          <w:szCs w:val="28"/>
        </w:rPr>
      </w:pPr>
      <w:r w:rsidRPr="003577E8">
        <w:rPr>
          <w:sz w:val="28"/>
          <w:szCs w:val="28"/>
        </w:rPr>
        <w:lastRenderedPageBreak/>
        <w:t xml:space="preserve">         Библиотеката към ректора /ЦУБ/ осъществи абонамент за нови бази данни: </w:t>
      </w:r>
      <w:hyperlink r:id="rId8" w:history="1">
        <w:r w:rsidRPr="003577E8">
          <w:rPr>
            <w:rStyle w:val="ab"/>
            <w:i/>
            <w:iCs/>
            <w:sz w:val="28"/>
            <w:szCs w:val="28"/>
          </w:rPr>
          <w:t>Veterinary Education in Video</w:t>
        </w:r>
      </w:hyperlink>
      <w:r w:rsidRPr="003577E8">
        <w:rPr>
          <w:rStyle w:val="aa"/>
          <w:sz w:val="28"/>
          <w:szCs w:val="28"/>
        </w:rPr>
        <w:t xml:space="preserve"> </w:t>
      </w:r>
      <w:r w:rsidRPr="003577E8">
        <w:rPr>
          <w:sz w:val="28"/>
          <w:szCs w:val="28"/>
        </w:rPr>
        <w:t>и</w:t>
      </w:r>
      <w:r w:rsidRPr="003577E8">
        <w:rPr>
          <w:rStyle w:val="aa"/>
          <w:sz w:val="28"/>
          <w:szCs w:val="28"/>
        </w:rPr>
        <w:t> </w:t>
      </w:r>
      <w:hyperlink r:id="rId9" w:history="1">
        <w:r w:rsidRPr="003577E8">
          <w:rPr>
            <w:rStyle w:val="ab"/>
            <w:i/>
            <w:iCs/>
            <w:sz w:val="28"/>
            <w:szCs w:val="28"/>
          </w:rPr>
          <w:t>Rehabilitation Therapy in Video</w:t>
        </w:r>
      </w:hyperlink>
      <w:r w:rsidRPr="003577E8">
        <w:rPr>
          <w:rStyle w:val="aa"/>
          <w:sz w:val="28"/>
          <w:szCs w:val="28"/>
        </w:rPr>
        <w:t>.</w:t>
      </w:r>
      <w:r w:rsidRPr="003577E8">
        <w:rPr>
          <w:sz w:val="28"/>
          <w:szCs w:val="28"/>
        </w:rPr>
        <w:t xml:space="preserve"> Теса достъпни сама на териоторията на университета.</w:t>
      </w:r>
    </w:p>
    <w:p w:rsidR="00075B80" w:rsidRPr="003577E8" w:rsidRDefault="00075B80" w:rsidP="00075B80">
      <w:pPr>
        <w:pStyle w:val="a9"/>
        <w:spacing w:line="360" w:lineRule="auto"/>
        <w:ind w:firstLine="567"/>
        <w:rPr>
          <w:sz w:val="28"/>
          <w:szCs w:val="28"/>
        </w:rPr>
      </w:pPr>
      <w:r w:rsidRPr="003577E8">
        <w:rPr>
          <w:sz w:val="28"/>
          <w:szCs w:val="28"/>
        </w:rPr>
        <w:t>Базите данни са ценен помощник в научно-изследователската, учебно-преподавателската дейност, както и за дистанционно обучение. Значителна част от колекциите са базирани на най-модерни технологии и предлагат  съчетание между видео, аудио и текст. Уникалният модерен елемент е паралелът между текста и видеото, който предоставя както възможност за търсене и на двете места (чрез  маркиране на избрания момент), така и възможност за онлайн „изрязване” на сегменти (които могат да се копират, обработват, трансформират и съхраняват във файлове).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sz w:val="28"/>
          <w:szCs w:val="28"/>
          <w:lang w:val="ru-RU"/>
        </w:rPr>
        <w:t xml:space="preserve">Колежът има в наличност необходимите ръководства и учебна литература по основните изучавани дисциплини. Библиотечният фонд се попълва непрекъснато с актуални нови бибилотечни единици от българските медицински издателства. И академични издания от Тракийски универсисте - Стара Загора 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sz w:val="28"/>
          <w:szCs w:val="28"/>
          <w:lang w:val="ru-RU"/>
        </w:rPr>
        <w:t>Прави се абонамент  за съответната календарна година на специализирани медицински списания, отразяващи новостите в професионално направление „Здравни грижи“.</w:t>
      </w:r>
      <w:r w:rsidRPr="003577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7E8">
        <w:rPr>
          <w:rFonts w:ascii="Times New Roman" w:hAnsi="Times New Roman" w:cs="Times New Roman"/>
          <w:b/>
          <w:color w:val="000000"/>
          <w:sz w:val="28"/>
          <w:szCs w:val="28"/>
        </w:rPr>
        <w:t>Библиотечната дейност е в процес на автоматизация</w:t>
      </w:r>
      <w:r w:rsidRPr="003577E8">
        <w:rPr>
          <w:rFonts w:ascii="Times New Roman" w:hAnsi="Times New Roman" w:cs="Times New Roman"/>
          <w:color w:val="000000"/>
          <w:sz w:val="28"/>
          <w:szCs w:val="28"/>
        </w:rPr>
        <w:t xml:space="preserve">  чрез международния софтуер GLAS</w:t>
      </w:r>
      <w:r w:rsidRPr="003577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577E8">
        <w:rPr>
          <w:rFonts w:ascii="Times New Roman" w:hAnsi="Times New Roman" w:cs="Times New Roman"/>
          <w:color w:val="000000"/>
          <w:sz w:val="28"/>
          <w:szCs w:val="28"/>
        </w:rPr>
        <w:t xml:space="preserve">създаден за медицински библиотеки. 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7E8">
        <w:rPr>
          <w:rFonts w:ascii="Times New Roman" w:hAnsi="Times New Roman" w:cs="Times New Roman"/>
          <w:sz w:val="28"/>
          <w:szCs w:val="28"/>
        </w:rPr>
        <w:t xml:space="preserve">Библиотечните процеси са автоматизирани чрез </w:t>
      </w:r>
      <w:r w:rsidRPr="003577E8">
        <w:rPr>
          <w:rFonts w:ascii="Times New Roman" w:hAnsi="Times New Roman" w:cs="Times New Roman"/>
          <w:b/>
          <w:sz w:val="28"/>
          <w:szCs w:val="28"/>
        </w:rPr>
        <w:t>Автоматизирана Библиотека (АБ)</w:t>
      </w:r>
      <w:r w:rsidRPr="003577E8">
        <w:rPr>
          <w:rFonts w:ascii="Times New Roman" w:hAnsi="Times New Roman" w:cs="Times New Roman"/>
          <w:sz w:val="28"/>
          <w:szCs w:val="28"/>
        </w:rPr>
        <w:t xml:space="preserve"> - програмен пакет на фирма РС-ТМ София.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b/>
          <w:color w:val="000000"/>
          <w:sz w:val="28"/>
          <w:szCs w:val="28"/>
        </w:rPr>
        <w:t>Обновявят се и се изграждат  следните бази данни</w:t>
      </w:r>
      <w:r w:rsidRPr="003577E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57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комплектуване; каталог; периодика;  книгозаемане;  обработка на </w:t>
      </w:r>
      <w:r w:rsidRPr="003577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статии и приемане на данни от библиотеките, работещи с </w:t>
      </w:r>
      <w:r w:rsidRPr="003577E8">
        <w:rPr>
          <w:rFonts w:ascii="Times New Roman" w:hAnsi="Times New Roman" w:cs="Times New Roman"/>
          <w:b/>
          <w:sz w:val="28"/>
          <w:szCs w:val="28"/>
        </w:rPr>
        <w:t>Автоматизирана библиотека (АБ)</w:t>
      </w:r>
      <w:r w:rsidRPr="003577E8">
        <w:rPr>
          <w:rFonts w:ascii="Times New Roman" w:hAnsi="Times New Roman" w:cs="Times New Roman"/>
          <w:sz w:val="28"/>
          <w:szCs w:val="28"/>
        </w:rPr>
        <w:t>.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Наличният библиотечен фонд до момента задоволява, както количествено, така и по съдържание потребностите на преподаватели и студенти от професионалното направление. </w:t>
      </w:r>
    </w:p>
    <w:p w:rsidR="00075B80" w:rsidRPr="003577E8" w:rsidRDefault="00075B80" w:rsidP="00075B8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sz w:val="28"/>
          <w:szCs w:val="28"/>
        </w:rPr>
        <w:t xml:space="preserve">Книжният фонд на бибилиоктека се обновява ежемесично. </w:t>
      </w:r>
      <w:r w:rsidRPr="003577E8">
        <w:rPr>
          <w:rFonts w:ascii="Times New Roman" w:hAnsi="Times New Roman" w:cs="Times New Roman"/>
          <w:sz w:val="28"/>
          <w:szCs w:val="28"/>
          <w:lang w:val="ru-RU"/>
        </w:rPr>
        <w:t>Новите учебни пособия  допълват знанията на студентите както за теоретично така и за практическото обучението на специалностите в колежа:</w:t>
      </w:r>
    </w:p>
    <w:p w:rsidR="00075B80" w:rsidRPr="003577E8" w:rsidRDefault="00075B80" w:rsidP="00075B8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>-  рехабилитатори</w:t>
      </w:r>
    </w:p>
    <w:p w:rsidR="00075B80" w:rsidRPr="003577E8" w:rsidRDefault="00075B80" w:rsidP="00075B8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>-  медицински лаборанти</w:t>
      </w:r>
    </w:p>
    <w:p w:rsidR="00075B80" w:rsidRPr="003577E8" w:rsidRDefault="00075B80" w:rsidP="00075B8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b/>
          <w:i/>
          <w:sz w:val="28"/>
          <w:szCs w:val="28"/>
          <w:lang w:val="ru-RU"/>
        </w:rPr>
        <w:t>- гериатрични грижи</w:t>
      </w:r>
    </w:p>
    <w:p w:rsidR="00075B80" w:rsidRPr="003577E8" w:rsidRDefault="00075B80" w:rsidP="00075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7E8">
        <w:rPr>
          <w:rFonts w:ascii="Times New Roman" w:hAnsi="Times New Roman" w:cs="Times New Roman"/>
          <w:sz w:val="28"/>
          <w:szCs w:val="28"/>
          <w:lang w:val="ru-RU"/>
        </w:rPr>
        <w:t>Читателите имат достъп до електроннния каталог на библиотека към медицински колеж, Медеценски факултет както и да ползват и библиотечиня фонд на Централна университетска бибилотека към Тракийски университет-Стара Загора.</w:t>
      </w:r>
    </w:p>
    <w:p w:rsidR="00C92160" w:rsidRPr="003577E8" w:rsidRDefault="00075B80" w:rsidP="007F40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3577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Абонамент за 2018</w:t>
      </w:r>
      <w:r w:rsidR="00AD18F1" w:rsidRPr="003577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година в МК</w:t>
      </w:r>
      <w:r w:rsidR="00B62D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– има </w:t>
      </w:r>
      <w:r w:rsidR="00E0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7 списния и 5 периодични издания.</w:t>
      </w:r>
    </w:p>
    <w:p w:rsidR="00C7635D" w:rsidRPr="003577E8" w:rsidRDefault="00C7635D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305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635D">
        <w:rPr>
          <w:rFonts w:ascii="Times New Roman" w:eastAsia="Times New Roman" w:hAnsi="Times New Roman" w:cs="Times New Roman"/>
          <w:b/>
          <w:sz w:val="28"/>
          <w:szCs w:val="24"/>
        </w:rPr>
        <w:t>Х</w:t>
      </w:r>
      <w:r w:rsidRPr="0005036C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 Материално-техническа база.</w:t>
      </w:r>
    </w:p>
    <w:p w:rsidR="00BE0A74" w:rsidRDefault="00BE0A74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2305" w:rsidRPr="00716856" w:rsidRDefault="00BE0A74" w:rsidP="007F4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A74">
        <w:rPr>
          <w:rFonts w:ascii="Times New Roman" w:eastAsia="Times New Roman" w:hAnsi="Times New Roman" w:cs="Times New Roman"/>
          <w:sz w:val="28"/>
          <w:szCs w:val="24"/>
        </w:rPr>
        <w:t xml:space="preserve">Както се посочи Медицинския колеж разполага с много добра МТБ, която на сегашния етап напълно задоволява потребностите на обучението по трите специалности.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Необходимо е да се извършат ежегодно ремонтни дейности за обновяване на интериора в учебните зали. За екстериорната визия на МК е </w:t>
      </w:r>
      <w:r w:rsidR="0040707E">
        <w:rPr>
          <w:rFonts w:ascii="Times New Roman" w:eastAsia="Times New Roman" w:hAnsi="Times New Roman" w:cs="Times New Roman"/>
          <w:sz w:val="28"/>
          <w:szCs w:val="24"/>
        </w:rPr>
        <w:t>извършeена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реконструкция на входа и подновяване на входните табели. Да се използват наличните възмож</w:t>
      </w:r>
      <w:r w:rsidR="008411CD">
        <w:rPr>
          <w:rFonts w:ascii="Times New Roman" w:eastAsia="Times New Roman" w:hAnsi="Times New Roman" w:cs="Times New Roman"/>
          <w:sz w:val="28"/>
          <w:szCs w:val="24"/>
        </w:rPr>
        <w:t xml:space="preserve">ности на Тр. У </w:t>
      </w:r>
      <w:r w:rsidR="008411C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(Педагогически факултет и ДИПКУ)  </w:t>
      </w:r>
      <w:r w:rsidR="00EF2305" w:rsidRPr="00BE0A74">
        <w:rPr>
          <w:rFonts w:ascii="Times New Roman" w:eastAsia="Times New Roman" w:hAnsi="Times New Roman" w:cs="Times New Roman"/>
          <w:sz w:val="28"/>
          <w:szCs w:val="24"/>
        </w:rPr>
        <w:t>за разширяване на МТБ</w:t>
      </w:r>
      <w:r w:rsidR="008411CD">
        <w:rPr>
          <w:rFonts w:ascii="Times New Roman" w:eastAsia="Times New Roman" w:hAnsi="Times New Roman" w:cs="Times New Roman"/>
          <w:sz w:val="28"/>
          <w:szCs w:val="24"/>
        </w:rPr>
        <w:t xml:space="preserve"> на МК.</w:t>
      </w:r>
      <w:r w:rsidR="00EF2305"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5499F">
        <w:rPr>
          <w:rFonts w:ascii="Times New Roman" w:eastAsia="Times New Roman" w:hAnsi="Times New Roman" w:cs="Times New Roman"/>
          <w:sz w:val="28"/>
          <w:szCs w:val="24"/>
        </w:rPr>
        <w:t>Необходимо е пространство за физ</w:t>
      </w:r>
      <w:r w:rsidR="00716856" w:rsidRPr="00716856">
        <w:rPr>
          <w:rFonts w:ascii="Times New Roman" w:eastAsia="Times New Roman" w:hAnsi="Times New Roman" w:cs="Times New Roman"/>
          <w:sz w:val="28"/>
          <w:szCs w:val="24"/>
        </w:rPr>
        <w:t>кул</w:t>
      </w:r>
      <w:r w:rsidR="003D1F5E">
        <w:rPr>
          <w:rFonts w:ascii="Times New Roman" w:eastAsia="Times New Roman" w:hAnsi="Times New Roman" w:cs="Times New Roman"/>
          <w:sz w:val="28"/>
          <w:szCs w:val="24"/>
        </w:rPr>
        <w:t>турен салин и спортни дейности з</w:t>
      </w:r>
      <w:r w:rsidR="00716856" w:rsidRPr="00716856">
        <w:rPr>
          <w:rFonts w:ascii="Times New Roman" w:eastAsia="Times New Roman" w:hAnsi="Times New Roman" w:cs="Times New Roman"/>
          <w:sz w:val="28"/>
          <w:szCs w:val="24"/>
        </w:rPr>
        <w:t>а студентите.</w:t>
      </w:r>
    </w:p>
    <w:p w:rsidR="00D43AAC" w:rsidRPr="009B4655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F2305" w:rsidRPr="00EF2305" w:rsidRDefault="00EF2305" w:rsidP="007F4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 xml:space="preserve">ХІ. Връзки с </w:t>
      </w:r>
      <w:r w:rsidR="009B6AB5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обществени организации и </w:t>
      </w:r>
      <w:r w:rsidRPr="00EF2305">
        <w:rPr>
          <w:rFonts w:ascii="Times New Roman" w:eastAsia="Times New Roman" w:hAnsi="Times New Roman" w:cs="Times New Roman"/>
          <w:b/>
          <w:sz w:val="28"/>
          <w:szCs w:val="24"/>
        </w:rPr>
        <w:t>бизнеса.</w:t>
      </w:r>
    </w:p>
    <w:p w:rsidR="002F4C66" w:rsidRPr="002F4C66" w:rsidRDefault="002F4C66" w:rsidP="007A56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Сътрудничество с Ротари Клуб - Стара Загора и Община Стара Загора по съвместен Проект : </w:t>
      </w:r>
      <w:r w:rsidRPr="002F4C66">
        <w:rPr>
          <w:rFonts w:ascii="Times New Roman" w:hAnsi="Times New Roman" w:cs="Times New Roman"/>
          <w:b/>
          <w:sz w:val="24"/>
          <w:szCs w:val="24"/>
          <w:lang w:val="ru-RU"/>
        </w:rPr>
        <w:t>«ПРЕВЕНЦИЯ И ПРОФИЛАКТИКА НА ПРОБЛЕМИ СВЪРЗАНИ С ОПОРНО-ДВИГАТЕЛНИЯ АПАРАТ ПРИ ДЕЦАТА, ХИПОДИНАМИЯТА И НАДНОРМЕНОТО ТЕГЛО»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2016 г.</w:t>
      </w:r>
    </w:p>
    <w:p w:rsidR="002F4C66" w:rsidRDefault="00716856" w:rsidP="004F56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856">
        <w:rPr>
          <w:rFonts w:ascii="Times New Roman" w:eastAsia="Times New Roman" w:hAnsi="Times New Roman" w:cs="Times New Roman"/>
          <w:sz w:val="28"/>
          <w:szCs w:val="28"/>
        </w:rPr>
        <w:t>Да продължи т</w:t>
      </w:r>
      <w:r w:rsidR="00EF2305" w:rsidRPr="00716856">
        <w:rPr>
          <w:rFonts w:ascii="Times New Roman" w:eastAsia="Times New Roman" w:hAnsi="Times New Roman" w:cs="Times New Roman"/>
          <w:sz w:val="28"/>
          <w:szCs w:val="28"/>
        </w:rPr>
        <w:t>ърсене</w:t>
      </w:r>
      <w:r w:rsidRPr="00716856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F2305" w:rsidRPr="00716856">
        <w:rPr>
          <w:rFonts w:ascii="Times New Roman" w:eastAsia="Times New Roman" w:hAnsi="Times New Roman" w:cs="Times New Roman"/>
          <w:sz w:val="28"/>
          <w:szCs w:val="28"/>
        </w:rPr>
        <w:t xml:space="preserve"> на контакти за сътрудничество с </w:t>
      </w:r>
      <w:r w:rsidR="00DB3318" w:rsidRPr="00716856">
        <w:rPr>
          <w:rFonts w:ascii="Times New Roman" w:eastAsia="Times New Roman" w:hAnsi="Times New Roman" w:cs="Times New Roman"/>
          <w:sz w:val="28"/>
          <w:szCs w:val="28"/>
        </w:rPr>
        <w:t>обществени и бизнес</w:t>
      </w:r>
      <w:r w:rsidR="00FB63EE" w:rsidRPr="0071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05" w:rsidRPr="00716856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които биха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подпомогнали дейността по Проекти и </w:t>
      </w:r>
      <w:r w:rsidR="00EF2305" w:rsidRPr="00716856">
        <w:rPr>
          <w:rFonts w:ascii="Times New Roman" w:eastAsia="Times New Roman" w:hAnsi="Times New Roman" w:cs="Times New Roman"/>
          <w:sz w:val="28"/>
          <w:szCs w:val="28"/>
        </w:rPr>
        <w:t>за реализацията на студентите</w:t>
      </w:r>
      <w:r w:rsidR="00171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C66" w:rsidRPr="002F4C66" w:rsidRDefault="002F4C66" w:rsidP="002F4C66">
      <w:pPr>
        <w:spacing w:after="0" w:line="360" w:lineRule="auto"/>
        <w:ind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854493" w:rsidRPr="004F223E" w:rsidRDefault="00854493" w:rsidP="007F40FF">
      <w:pPr>
        <w:spacing w:before="100" w:after="240" w:line="36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2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Предстоящи задачи:</w:t>
      </w:r>
    </w:p>
    <w:p w:rsidR="00854493" w:rsidRPr="00003E70" w:rsidRDefault="00854493" w:rsidP="007F40FF">
      <w:pPr>
        <w:pStyle w:val="a3"/>
        <w:spacing w:before="100" w:after="240" w:line="36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продължи политиката за осигуряване на стабилност на МК в следните аспекти: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щатни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хабилитирани и нехабилитирани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продължи мотивирането на преподавателите за академично развитие; </w:t>
      </w:r>
    </w:p>
    <w:p w:rsidR="00854493" w:rsidRDefault="00707242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продължи</w:t>
      </w:r>
      <w:r w:rsidR="00854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усъвърш</w:t>
      </w:r>
      <w:r w:rsidR="00854493"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>енстване на чуждоезиков</w:t>
      </w:r>
      <w:r w:rsidR="00854493">
        <w:rPr>
          <w:rFonts w:ascii="Times New Roman" w:eastAsia="Times New Roman" w:hAnsi="Times New Roman" w:cs="Times New Roman"/>
          <w:sz w:val="28"/>
          <w:szCs w:val="28"/>
          <w:lang w:eastAsia="bg-BG"/>
        </w:rPr>
        <w:t>ото обучение на преподавателите;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</w:t>
      </w:r>
      <w:r w:rsidR="008163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продължи </w:t>
      </w:r>
      <w:r w:rsidR="00E017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привличането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гост - лектори и доказа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 професионалисти в практиката;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продължи поддържането на качеството на преподаването и обучението, както и периодичното проучване на студентското мнение.</w:t>
      </w:r>
    </w:p>
    <w:p w:rsidR="00854493" w:rsidRPr="00D1554F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554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Акредитация на настоящите и на други специалности </w:t>
      </w:r>
      <w:r w:rsidRPr="00D1554F">
        <w:rPr>
          <w:rFonts w:ascii="Times New Roman" w:eastAsia="Times New Roman" w:hAnsi="Times New Roman" w:cs="Times New Roman"/>
          <w:sz w:val="28"/>
          <w:szCs w:val="28"/>
        </w:rPr>
        <w:t xml:space="preserve">според потребностите </w:t>
      </w:r>
      <w:r>
        <w:rPr>
          <w:rFonts w:ascii="Times New Roman" w:eastAsia="Times New Roman" w:hAnsi="Times New Roman" w:cs="Times New Roman"/>
          <w:sz w:val="28"/>
          <w:szCs w:val="28"/>
        </w:rPr>
        <w:t>в регионален и национален мащаб;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Обновяването и поетапно разширяване на материално-техническата база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>Сключване на договори с нови клинични бази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продължи рекламата на Колежа – чрез сайта, устни презентации, медийни изяви, посещения в средните училища, както и в близко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съседски страни;</w:t>
      </w:r>
    </w:p>
    <w:p w:rsidR="00854493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продължи търсенето на международни контакти и развитието на сътрудн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ичество и реализиране на обмени;</w:t>
      </w:r>
    </w:p>
    <w:p w:rsidR="00854493" w:rsidRPr="008163EC" w:rsidRDefault="00854493" w:rsidP="007F40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продължи разработването на Проекти на университетско, национално и европейско ниво.</w:t>
      </w:r>
    </w:p>
    <w:p w:rsidR="00854493" w:rsidRPr="008163EC" w:rsidRDefault="00854493" w:rsidP="007F40FF">
      <w:pPr>
        <w:pStyle w:val="a3"/>
        <w:numPr>
          <w:ilvl w:val="0"/>
          <w:numId w:val="5"/>
        </w:numPr>
        <w:spacing w:before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</w:t>
      </w:r>
      <w:r w:rsidR="008163E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продължи мотивирането</w:t>
      </w:r>
      <w:r w:rsidRPr="00003E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студентите за участия в научни форуми и различни форми на художествена самодейност и спортни изяви.</w:t>
      </w:r>
    </w:p>
    <w:p w:rsidR="00550265" w:rsidRPr="004F5615" w:rsidRDefault="00C13FF9" w:rsidP="004F56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се поддържа добра колаборация</w:t>
      </w:r>
      <w:r w:rsidR="00854493">
        <w:rPr>
          <w:rFonts w:ascii="Times New Roman" w:eastAsia="Times New Roman" w:hAnsi="Times New Roman" w:cs="Times New Roman"/>
          <w:sz w:val="28"/>
          <w:szCs w:val="28"/>
        </w:rPr>
        <w:t xml:space="preserve"> на дейностите в МК м</w:t>
      </w:r>
      <w:r w:rsidR="00ED45D1">
        <w:rPr>
          <w:rFonts w:ascii="Times New Roman" w:eastAsia="Times New Roman" w:hAnsi="Times New Roman" w:cs="Times New Roman"/>
          <w:sz w:val="28"/>
          <w:szCs w:val="28"/>
        </w:rPr>
        <w:t>ежду отделните сектори и отдели на Тр. У</w:t>
      </w:r>
    </w:p>
    <w:p w:rsidR="00FE0B93" w:rsidRPr="00462378" w:rsidRDefault="00854493" w:rsidP="00462378">
      <w:pPr>
        <w:spacing w:before="10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Позволете ми накрая да изкажа благодарност за постигнатите резултати през </w:t>
      </w:r>
      <w:r w:rsidR="0082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отчетния период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всички преподаватели,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безрезервната им подкрепа и екипност, на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студенти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за тяхното разбиране и сътрудничество, на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служители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те, които спомогат за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успешната ни съвместна работа.  Бих искала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изразя своята благодарност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и към Ректорското ръководство за положителната, обективна и достойна 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ценка на извършената работа, кое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гаранция за 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>по-нататъшното развитие на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4F2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колеж!</w:t>
      </w:r>
      <w:r w:rsidR="004F56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E0B93">
        <w:rPr>
          <w:rFonts w:ascii="Times New Roman" w:eastAsia="Times New Roman" w:hAnsi="Times New Roman" w:cs="Times New Roman"/>
          <w:sz w:val="28"/>
          <w:szCs w:val="28"/>
        </w:rPr>
        <w:t>Благодаря на всички за коректно предоставената информация за подготовка на настоящия Отчет.</w:t>
      </w:r>
    </w:p>
    <w:p w:rsidR="00FE0B93" w:rsidRDefault="00FE0B93" w:rsidP="007F40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537" w:rsidRPr="00C73362" w:rsidRDefault="00650EAE" w:rsidP="00C65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Проф. д-р Христина Милчева, дп</w:t>
      </w:r>
    </w:p>
    <w:sectPr w:rsidR="00545537" w:rsidRPr="00C733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7A" w:rsidRDefault="003B067A" w:rsidP="0059297E">
      <w:pPr>
        <w:spacing w:after="0" w:line="240" w:lineRule="auto"/>
      </w:pPr>
      <w:r>
        <w:separator/>
      </w:r>
    </w:p>
  </w:endnote>
  <w:endnote w:type="continuationSeparator" w:id="0">
    <w:p w:rsidR="003B067A" w:rsidRDefault="003B067A" w:rsidP="005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7A" w:rsidRDefault="003B067A" w:rsidP="0059297E">
      <w:pPr>
        <w:spacing w:after="0" w:line="240" w:lineRule="auto"/>
      </w:pPr>
      <w:r>
        <w:separator/>
      </w:r>
    </w:p>
  </w:footnote>
  <w:footnote w:type="continuationSeparator" w:id="0">
    <w:p w:rsidR="003B067A" w:rsidRDefault="003B067A" w:rsidP="005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79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297E" w:rsidRDefault="0059297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97E" w:rsidRDefault="005929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F1"/>
    <w:multiLevelType w:val="hybridMultilevel"/>
    <w:tmpl w:val="8E74642E"/>
    <w:lvl w:ilvl="0" w:tplc="8886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51B5D"/>
    <w:multiLevelType w:val="multilevel"/>
    <w:tmpl w:val="05A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054AD"/>
    <w:multiLevelType w:val="hybridMultilevel"/>
    <w:tmpl w:val="15CEF26E"/>
    <w:lvl w:ilvl="0" w:tplc="779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E2117"/>
    <w:multiLevelType w:val="hybridMultilevel"/>
    <w:tmpl w:val="800E26DE"/>
    <w:lvl w:ilvl="0" w:tplc="92D6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6ACE"/>
    <w:multiLevelType w:val="hybridMultilevel"/>
    <w:tmpl w:val="A23082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87A4A"/>
    <w:multiLevelType w:val="hybridMultilevel"/>
    <w:tmpl w:val="5FEEA62C"/>
    <w:lvl w:ilvl="0" w:tplc="D444B49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022614B"/>
    <w:multiLevelType w:val="hybridMultilevel"/>
    <w:tmpl w:val="A274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231"/>
    <w:multiLevelType w:val="hybridMultilevel"/>
    <w:tmpl w:val="215E60B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26D0A"/>
    <w:multiLevelType w:val="hybridMultilevel"/>
    <w:tmpl w:val="0854FD12"/>
    <w:lvl w:ilvl="0" w:tplc="A00427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7"/>
    <w:rsid w:val="00006A9D"/>
    <w:rsid w:val="000123E4"/>
    <w:rsid w:val="000335EA"/>
    <w:rsid w:val="00036A17"/>
    <w:rsid w:val="000447B8"/>
    <w:rsid w:val="0005036C"/>
    <w:rsid w:val="00054342"/>
    <w:rsid w:val="000636AA"/>
    <w:rsid w:val="00073EBF"/>
    <w:rsid w:val="00075B80"/>
    <w:rsid w:val="0008210E"/>
    <w:rsid w:val="000832D4"/>
    <w:rsid w:val="0009222F"/>
    <w:rsid w:val="000A0B83"/>
    <w:rsid w:val="000A39AF"/>
    <w:rsid w:val="000A516B"/>
    <w:rsid w:val="000B0B20"/>
    <w:rsid w:val="000B4494"/>
    <w:rsid w:val="000C5D3E"/>
    <w:rsid w:val="000C6BED"/>
    <w:rsid w:val="000D1572"/>
    <w:rsid w:val="000F0136"/>
    <w:rsid w:val="000F05F7"/>
    <w:rsid w:val="00102F3E"/>
    <w:rsid w:val="00106686"/>
    <w:rsid w:val="001271DF"/>
    <w:rsid w:val="0013461C"/>
    <w:rsid w:val="0013464C"/>
    <w:rsid w:val="00140EEC"/>
    <w:rsid w:val="00143913"/>
    <w:rsid w:val="00160A01"/>
    <w:rsid w:val="001712B3"/>
    <w:rsid w:val="00171645"/>
    <w:rsid w:val="00174B5C"/>
    <w:rsid w:val="00183468"/>
    <w:rsid w:val="00183586"/>
    <w:rsid w:val="00193F4B"/>
    <w:rsid w:val="00195CC0"/>
    <w:rsid w:val="001978AE"/>
    <w:rsid w:val="001A491F"/>
    <w:rsid w:val="001B4D9D"/>
    <w:rsid w:val="001B4DE0"/>
    <w:rsid w:val="001B5731"/>
    <w:rsid w:val="001B6134"/>
    <w:rsid w:val="001B61D4"/>
    <w:rsid w:val="001E7B9B"/>
    <w:rsid w:val="002011F7"/>
    <w:rsid w:val="00205C55"/>
    <w:rsid w:val="002108A0"/>
    <w:rsid w:val="0021177C"/>
    <w:rsid w:val="00213F60"/>
    <w:rsid w:val="00232DFA"/>
    <w:rsid w:val="00236614"/>
    <w:rsid w:val="00236BA7"/>
    <w:rsid w:val="00246445"/>
    <w:rsid w:val="00246639"/>
    <w:rsid w:val="00250569"/>
    <w:rsid w:val="0025098B"/>
    <w:rsid w:val="0025291D"/>
    <w:rsid w:val="00253D21"/>
    <w:rsid w:val="00254903"/>
    <w:rsid w:val="0025499F"/>
    <w:rsid w:val="0025605A"/>
    <w:rsid w:val="00262E17"/>
    <w:rsid w:val="00264968"/>
    <w:rsid w:val="00265B29"/>
    <w:rsid w:val="00275FE1"/>
    <w:rsid w:val="002815A5"/>
    <w:rsid w:val="00281714"/>
    <w:rsid w:val="0028278A"/>
    <w:rsid w:val="002935DA"/>
    <w:rsid w:val="002972AD"/>
    <w:rsid w:val="002A71F0"/>
    <w:rsid w:val="002B463B"/>
    <w:rsid w:val="002B60F8"/>
    <w:rsid w:val="002C4CE4"/>
    <w:rsid w:val="002C6AE2"/>
    <w:rsid w:val="002D1289"/>
    <w:rsid w:val="002D753D"/>
    <w:rsid w:val="002F2F18"/>
    <w:rsid w:val="002F47BA"/>
    <w:rsid w:val="002F4C66"/>
    <w:rsid w:val="002F5362"/>
    <w:rsid w:val="00303992"/>
    <w:rsid w:val="0030444D"/>
    <w:rsid w:val="0030780F"/>
    <w:rsid w:val="003316A8"/>
    <w:rsid w:val="00331E91"/>
    <w:rsid w:val="00350BEF"/>
    <w:rsid w:val="003577E8"/>
    <w:rsid w:val="003661ED"/>
    <w:rsid w:val="00370F9F"/>
    <w:rsid w:val="00371BDD"/>
    <w:rsid w:val="00380453"/>
    <w:rsid w:val="00387EF9"/>
    <w:rsid w:val="003A3517"/>
    <w:rsid w:val="003B067A"/>
    <w:rsid w:val="003C0859"/>
    <w:rsid w:val="003C2F13"/>
    <w:rsid w:val="003C6080"/>
    <w:rsid w:val="003D1F5E"/>
    <w:rsid w:val="003D2DE5"/>
    <w:rsid w:val="003D45FE"/>
    <w:rsid w:val="003E0D54"/>
    <w:rsid w:val="003E129C"/>
    <w:rsid w:val="003F353D"/>
    <w:rsid w:val="0040707E"/>
    <w:rsid w:val="00417F7C"/>
    <w:rsid w:val="00452252"/>
    <w:rsid w:val="0046022B"/>
    <w:rsid w:val="004603D8"/>
    <w:rsid w:val="00462378"/>
    <w:rsid w:val="00462559"/>
    <w:rsid w:val="0049133E"/>
    <w:rsid w:val="004A4CDD"/>
    <w:rsid w:val="004A4E4F"/>
    <w:rsid w:val="004B55D3"/>
    <w:rsid w:val="004B7591"/>
    <w:rsid w:val="004B7E29"/>
    <w:rsid w:val="004C17F1"/>
    <w:rsid w:val="004C19E4"/>
    <w:rsid w:val="004C409E"/>
    <w:rsid w:val="004C4FC8"/>
    <w:rsid w:val="004C5898"/>
    <w:rsid w:val="004E0E58"/>
    <w:rsid w:val="004E1A8C"/>
    <w:rsid w:val="004F0E14"/>
    <w:rsid w:val="004F5615"/>
    <w:rsid w:val="00521ADE"/>
    <w:rsid w:val="00521E56"/>
    <w:rsid w:val="00522255"/>
    <w:rsid w:val="005249B4"/>
    <w:rsid w:val="005311B8"/>
    <w:rsid w:val="0053313B"/>
    <w:rsid w:val="00535A93"/>
    <w:rsid w:val="00537198"/>
    <w:rsid w:val="00545537"/>
    <w:rsid w:val="00550265"/>
    <w:rsid w:val="0055643C"/>
    <w:rsid w:val="00562551"/>
    <w:rsid w:val="00564647"/>
    <w:rsid w:val="0058562E"/>
    <w:rsid w:val="00587DF5"/>
    <w:rsid w:val="0059297E"/>
    <w:rsid w:val="00595D1A"/>
    <w:rsid w:val="005C660A"/>
    <w:rsid w:val="005F1CD8"/>
    <w:rsid w:val="005F3034"/>
    <w:rsid w:val="005F36EA"/>
    <w:rsid w:val="005F588C"/>
    <w:rsid w:val="006019F9"/>
    <w:rsid w:val="00605F2F"/>
    <w:rsid w:val="006250A6"/>
    <w:rsid w:val="00625574"/>
    <w:rsid w:val="006424FA"/>
    <w:rsid w:val="00645CAF"/>
    <w:rsid w:val="006461F2"/>
    <w:rsid w:val="0064763E"/>
    <w:rsid w:val="00650EAE"/>
    <w:rsid w:val="00654A21"/>
    <w:rsid w:val="00663DF0"/>
    <w:rsid w:val="006B01F6"/>
    <w:rsid w:val="006C5FDF"/>
    <w:rsid w:val="006E181E"/>
    <w:rsid w:val="006F5B97"/>
    <w:rsid w:val="007004A6"/>
    <w:rsid w:val="00707242"/>
    <w:rsid w:val="007129A0"/>
    <w:rsid w:val="00713E97"/>
    <w:rsid w:val="00715BD0"/>
    <w:rsid w:val="00715DF1"/>
    <w:rsid w:val="00716856"/>
    <w:rsid w:val="00716C6D"/>
    <w:rsid w:val="00740D32"/>
    <w:rsid w:val="00753D4B"/>
    <w:rsid w:val="00754E58"/>
    <w:rsid w:val="007603BD"/>
    <w:rsid w:val="00765DCD"/>
    <w:rsid w:val="00774284"/>
    <w:rsid w:val="007766AB"/>
    <w:rsid w:val="00794DB3"/>
    <w:rsid w:val="007A518B"/>
    <w:rsid w:val="007A5642"/>
    <w:rsid w:val="007A77BF"/>
    <w:rsid w:val="007C2929"/>
    <w:rsid w:val="007C6B2B"/>
    <w:rsid w:val="007D02FA"/>
    <w:rsid w:val="007D5B66"/>
    <w:rsid w:val="007E6F01"/>
    <w:rsid w:val="007F231D"/>
    <w:rsid w:val="007F40FF"/>
    <w:rsid w:val="007F71B3"/>
    <w:rsid w:val="00810CF3"/>
    <w:rsid w:val="008163EC"/>
    <w:rsid w:val="0081696E"/>
    <w:rsid w:val="008176E3"/>
    <w:rsid w:val="00820F9B"/>
    <w:rsid w:val="0082197C"/>
    <w:rsid w:val="00821E89"/>
    <w:rsid w:val="008352EE"/>
    <w:rsid w:val="0083651F"/>
    <w:rsid w:val="008411CD"/>
    <w:rsid w:val="00845072"/>
    <w:rsid w:val="00852F2B"/>
    <w:rsid w:val="00854493"/>
    <w:rsid w:val="008625DF"/>
    <w:rsid w:val="0086478B"/>
    <w:rsid w:val="0087653D"/>
    <w:rsid w:val="008839B7"/>
    <w:rsid w:val="008913DE"/>
    <w:rsid w:val="0089442F"/>
    <w:rsid w:val="008978B7"/>
    <w:rsid w:val="008A3327"/>
    <w:rsid w:val="008C010A"/>
    <w:rsid w:val="008D103A"/>
    <w:rsid w:val="008D2FB7"/>
    <w:rsid w:val="008D7263"/>
    <w:rsid w:val="0090737D"/>
    <w:rsid w:val="0092042D"/>
    <w:rsid w:val="009251ED"/>
    <w:rsid w:val="009338D0"/>
    <w:rsid w:val="009371E8"/>
    <w:rsid w:val="0093792F"/>
    <w:rsid w:val="00942F28"/>
    <w:rsid w:val="009453F6"/>
    <w:rsid w:val="009664EA"/>
    <w:rsid w:val="00974A7C"/>
    <w:rsid w:val="00976449"/>
    <w:rsid w:val="00976492"/>
    <w:rsid w:val="009840C0"/>
    <w:rsid w:val="00986D1B"/>
    <w:rsid w:val="00993729"/>
    <w:rsid w:val="009A281B"/>
    <w:rsid w:val="009A5418"/>
    <w:rsid w:val="009B4655"/>
    <w:rsid w:val="009B6AB5"/>
    <w:rsid w:val="009C0437"/>
    <w:rsid w:val="009C3376"/>
    <w:rsid w:val="009C3C90"/>
    <w:rsid w:val="009E311B"/>
    <w:rsid w:val="009F032A"/>
    <w:rsid w:val="009F248A"/>
    <w:rsid w:val="00A16D19"/>
    <w:rsid w:val="00A20767"/>
    <w:rsid w:val="00A37D5D"/>
    <w:rsid w:val="00A40C31"/>
    <w:rsid w:val="00A63F01"/>
    <w:rsid w:val="00A6429F"/>
    <w:rsid w:val="00A96950"/>
    <w:rsid w:val="00A977A8"/>
    <w:rsid w:val="00AA0DF7"/>
    <w:rsid w:val="00AA1FE9"/>
    <w:rsid w:val="00AB1FE1"/>
    <w:rsid w:val="00AB6AF4"/>
    <w:rsid w:val="00AC083A"/>
    <w:rsid w:val="00AC3E31"/>
    <w:rsid w:val="00AC68CB"/>
    <w:rsid w:val="00AC72FD"/>
    <w:rsid w:val="00AD18F1"/>
    <w:rsid w:val="00AE169B"/>
    <w:rsid w:val="00AE515E"/>
    <w:rsid w:val="00AE7D0E"/>
    <w:rsid w:val="00AF4F99"/>
    <w:rsid w:val="00AF67D1"/>
    <w:rsid w:val="00B02CD0"/>
    <w:rsid w:val="00B10177"/>
    <w:rsid w:val="00B36D2A"/>
    <w:rsid w:val="00B37D42"/>
    <w:rsid w:val="00B47FDB"/>
    <w:rsid w:val="00B54489"/>
    <w:rsid w:val="00B5483A"/>
    <w:rsid w:val="00B6146A"/>
    <w:rsid w:val="00B62D15"/>
    <w:rsid w:val="00B62DE6"/>
    <w:rsid w:val="00B70A23"/>
    <w:rsid w:val="00B805C1"/>
    <w:rsid w:val="00B91145"/>
    <w:rsid w:val="00BA672B"/>
    <w:rsid w:val="00BB360C"/>
    <w:rsid w:val="00BB40F9"/>
    <w:rsid w:val="00BC2399"/>
    <w:rsid w:val="00BC39DF"/>
    <w:rsid w:val="00BC660C"/>
    <w:rsid w:val="00BD146F"/>
    <w:rsid w:val="00BE0A74"/>
    <w:rsid w:val="00C02DF3"/>
    <w:rsid w:val="00C13FF9"/>
    <w:rsid w:val="00C236CC"/>
    <w:rsid w:val="00C51F1B"/>
    <w:rsid w:val="00C650B0"/>
    <w:rsid w:val="00C73362"/>
    <w:rsid w:val="00C7635D"/>
    <w:rsid w:val="00C86E3C"/>
    <w:rsid w:val="00C92160"/>
    <w:rsid w:val="00CD2B39"/>
    <w:rsid w:val="00CE0539"/>
    <w:rsid w:val="00CE113F"/>
    <w:rsid w:val="00CE3B8E"/>
    <w:rsid w:val="00CF31C7"/>
    <w:rsid w:val="00CF4915"/>
    <w:rsid w:val="00D05579"/>
    <w:rsid w:val="00D25F18"/>
    <w:rsid w:val="00D43AAC"/>
    <w:rsid w:val="00D51081"/>
    <w:rsid w:val="00D603D1"/>
    <w:rsid w:val="00D64509"/>
    <w:rsid w:val="00D72EAC"/>
    <w:rsid w:val="00D84EA5"/>
    <w:rsid w:val="00D8598B"/>
    <w:rsid w:val="00D900B1"/>
    <w:rsid w:val="00D959A8"/>
    <w:rsid w:val="00DA16EB"/>
    <w:rsid w:val="00DB3318"/>
    <w:rsid w:val="00DC2D2D"/>
    <w:rsid w:val="00DD2E42"/>
    <w:rsid w:val="00DD3534"/>
    <w:rsid w:val="00DD46B8"/>
    <w:rsid w:val="00DE2C33"/>
    <w:rsid w:val="00DE41B1"/>
    <w:rsid w:val="00E0016A"/>
    <w:rsid w:val="00E01762"/>
    <w:rsid w:val="00E021D0"/>
    <w:rsid w:val="00E20755"/>
    <w:rsid w:val="00E2169B"/>
    <w:rsid w:val="00E30C61"/>
    <w:rsid w:val="00E32C0E"/>
    <w:rsid w:val="00E370FC"/>
    <w:rsid w:val="00E45373"/>
    <w:rsid w:val="00E5397B"/>
    <w:rsid w:val="00E5445C"/>
    <w:rsid w:val="00E60870"/>
    <w:rsid w:val="00E66222"/>
    <w:rsid w:val="00E710ED"/>
    <w:rsid w:val="00E7379D"/>
    <w:rsid w:val="00E83677"/>
    <w:rsid w:val="00E86E58"/>
    <w:rsid w:val="00E93384"/>
    <w:rsid w:val="00E93601"/>
    <w:rsid w:val="00EA3A1F"/>
    <w:rsid w:val="00EA414C"/>
    <w:rsid w:val="00EA7AB5"/>
    <w:rsid w:val="00EB7948"/>
    <w:rsid w:val="00EC3ABB"/>
    <w:rsid w:val="00EC5735"/>
    <w:rsid w:val="00ED45D1"/>
    <w:rsid w:val="00ED5690"/>
    <w:rsid w:val="00EE563F"/>
    <w:rsid w:val="00EF2305"/>
    <w:rsid w:val="00F01C2B"/>
    <w:rsid w:val="00F111CC"/>
    <w:rsid w:val="00F27882"/>
    <w:rsid w:val="00F27FA2"/>
    <w:rsid w:val="00F3116E"/>
    <w:rsid w:val="00F3564B"/>
    <w:rsid w:val="00F4474A"/>
    <w:rsid w:val="00F4560B"/>
    <w:rsid w:val="00F45663"/>
    <w:rsid w:val="00F5721A"/>
    <w:rsid w:val="00F6017C"/>
    <w:rsid w:val="00F6167E"/>
    <w:rsid w:val="00F62640"/>
    <w:rsid w:val="00F64A79"/>
    <w:rsid w:val="00F80352"/>
    <w:rsid w:val="00F97CB1"/>
    <w:rsid w:val="00FA0E1D"/>
    <w:rsid w:val="00FA4C9D"/>
    <w:rsid w:val="00FA5A2E"/>
    <w:rsid w:val="00FB63EE"/>
    <w:rsid w:val="00FD0244"/>
    <w:rsid w:val="00FD2A8A"/>
    <w:rsid w:val="00FD559F"/>
    <w:rsid w:val="00FE0B93"/>
    <w:rsid w:val="00FF081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0C"/>
    <w:pPr>
      <w:ind w:left="720"/>
      <w:contextualSpacing/>
    </w:pPr>
  </w:style>
  <w:style w:type="table" w:styleId="a4">
    <w:name w:val="Table Grid"/>
    <w:basedOn w:val="a1"/>
    <w:uiPriority w:val="39"/>
    <w:rsid w:val="0097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7603B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Title"/>
    <w:basedOn w:val="a"/>
    <w:next w:val="a"/>
    <w:link w:val="a6"/>
    <w:uiPriority w:val="10"/>
    <w:qFormat/>
    <w:rsid w:val="00700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700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0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0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styleId="aa">
    <w:name w:val="Emphasis"/>
    <w:qFormat/>
    <w:rsid w:val="00075B80"/>
    <w:rPr>
      <w:i/>
      <w:iCs/>
    </w:rPr>
  </w:style>
  <w:style w:type="character" w:styleId="ab">
    <w:name w:val="Strong"/>
    <w:qFormat/>
    <w:rsid w:val="00075B80"/>
    <w:rPr>
      <w:b/>
      <w:bCs/>
    </w:rPr>
  </w:style>
  <w:style w:type="paragraph" w:styleId="ac">
    <w:name w:val="header"/>
    <w:basedOn w:val="a"/>
    <w:link w:val="ad"/>
    <w:uiPriority w:val="99"/>
    <w:unhideWhenUsed/>
    <w:rsid w:val="005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297E"/>
  </w:style>
  <w:style w:type="paragraph" w:styleId="ae">
    <w:name w:val="footer"/>
    <w:basedOn w:val="a"/>
    <w:link w:val="af"/>
    <w:uiPriority w:val="99"/>
    <w:unhideWhenUsed/>
    <w:rsid w:val="005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0C"/>
    <w:pPr>
      <w:ind w:left="720"/>
      <w:contextualSpacing/>
    </w:pPr>
  </w:style>
  <w:style w:type="table" w:styleId="a4">
    <w:name w:val="Table Grid"/>
    <w:basedOn w:val="a1"/>
    <w:uiPriority w:val="39"/>
    <w:rsid w:val="0097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7603B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Title"/>
    <w:basedOn w:val="a"/>
    <w:next w:val="a"/>
    <w:link w:val="a6"/>
    <w:uiPriority w:val="10"/>
    <w:qFormat/>
    <w:rsid w:val="00700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700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10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0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styleId="aa">
    <w:name w:val="Emphasis"/>
    <w:qFormat/>
    <w:rsid w:val="00075B80"/>
    <w:rPr>
      <w:i/>
      <w:iCs/>
    </w:rPr>
  </w:style>
  <w:style w:type="character" w:styleId="ab">
    <w:name w:val="Strong"/>
    <w:qFormat/>
    <w:rsid w:val="00075B80"/>
    <w:rPr>
      <w:b/>
      <w:bCs/>
    </w:rPr>
  </w:style>
  <w:style w:type="paragraph" w:styleId="ac">
    <w:name w:val="header"/>
    <w:basedOn w:val="a"/>
    <w:link w:val="ad"/>
    <w:uiPriority w:val="99"/>
    <w:unhideWhenUsed/>
    <w:rsid w:val="005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297E"/>
  </w:style>
  <w:style w:type="paragraph" w:styleId="ae">
    <w:name w:val="footer"/>
    <w:basedOn w:val="a"/>
    <w:link w:val="af"/>
    <w:uiPriority w:val="99"/>
    <w:unhideWhenUsed/>
    <w:rsid w:val="005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lexanderstreet.com/ve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alexanderstreet.com/r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4520</Words>
  <Characters>25766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milcheva</dc:creator>
  <cp:lastModifiedBy>I5PC1</cp:lastModifiedBy>
  <cp:revision>2</cp:revision>
  <cp:lastPrinted>2018-05-03T06:43:00Z</cp:lastPrinted>
  <dcterms:created xsi:type="dcterms:W3CDTF">2018-05-22T07:48:00Z</dcterms:created>
  <dcterms:modified xsi:type="dcterms:W3CDTF">2018-05-22T07:48:00Z</dcterms:modified>
</cp:coreProperties>
</file>