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F8" w:rsidRDefault="00C472F8">
      <w:pPr>
        <w:spacing w:after="0"/>
        <w:ind w:left="365"/>
        <w:jc w:val="center"/>
      </w:pPr>
      <w:r>
        <w:rPr>
          <w:rFonts w:ascii="Arial" w:eastAsia="Arial" w:hAnsi="Arial" w:cs="Arial"/>
          <w:b/>
          <w:color w:val="C00000"/>
          <w:sz w:val="44"/>
        </w:rPr>
        <w:t xml:space="preserve">ТРАКИЙСКИ УНИВЕРСИТЕТ </w:t>
      </w:r>
    </w:p>
    <w:p w:rsidR="00495DF8" w:rsidRDefault="00C472F8">
      <w:pPr>
        <w:spacing w:after="0"/>
        <w:ind w:left="367"/>
        <w:jc w:val="center"/>
      </w:pPr>
      <w:r>
        <w:rPr>
          <w:rFonts w:ascii="Arial" w:eastAsia="Arial" w:hAnsi="Arial" w:cs="Arial"/>
          <w:b/>
          <w:color w:val="002060"/>
          <w:sz w:val="28"/>
        </w:rPr>
        <w:t xml:space="preserve">Ветеринарномедицински факултет </w:t>
      </w:r>
    </w:p>
    <w:p w:rsidR="00495DF8" w:rsidRDefault="00C472F8">
      <w:pPr>
        <w:spacing w:after="137"/>
        <w:ind w:left="381" w:right="5" w:hanging="10"/>
        <w:jc w:val="center"/>
      </w:pPr>
      <w:r>
        <w:rPr>
          <w:rFonts w:ascii="Arial" w:eastAsia="Arial" w:hAnsi="Arial" w:cs="Arial"/>
        </w:rPr>
        <w:t xml:space="preserve">Задочно обучение по магистърска програма  </w:t>
      </w:r>
    </w:p>
    <w:p w:rsidR="00495DF8" w:rsidRDefault="00C472F8" w:rsidP="000E43AB">
      <w:pPr>
        <w:spacing w:after="0"/>
        <w:ind w:left="364"/>
        <w:jc w:val="center"/>
      </w:pPr>
      <w:r>
        <w:rPr>
          <w:rFonts w:ascii="Arial" w:eastAsia="Arial" w:hAnsi="Arial" w:cs="Arial"/>
          <w:b/>
        </w:rPr>
        <w:t xml:space="preserve">„САНИТАРНА МИКРОБИОЛОГИЯ И БЕЗОПАСНОСТ НА ХРАНИТЕ“ </w:t>
      </w:r>
    </w:p>
    <w:p w:rsidR="000E43AB" w:rsidRDefault="000E43AB">
      <w:pPr>
        <w:spacing w:after="0"/>
        <w:ind w:left="381" w:right="5" w:hanging="10"/>
        <w:jc w:val="center"/>
        <w:rPr>
          <w:rFonts w:ascii="Arial" w:eastAsia="Arial" w:hAnsi="Arial" w:cs="Arial"/>
        </w:rPr>
      </w:pPr>
    </w:p>
    <w:p w:rsidR="00495DF8" w:rsidRDefault="00C472F8">
      <w:pPr>
        <w:spacing w:after="0"/>
        <w:ind w:left="381" w:right="5" w:hanging="10"/>
        <w:jc w:val="center"/>
      </w:pPr>
      <w:r>
        <w:rPr>
          <w:rFonts w:ascii="Arial" w:eastAsia="Arial" w:hAnsi="Arial" w:cs="Arial"/>
        </w:rPr>
        <w:t xml:space="preserve">За записване и въпроси: </w:t>
      </w:r>
    </w:p>
    <w:p w:rsidR="00495DF8" w:rsidRDefault="00C472F8">
      <w:pPr>
        <w:spacing w:after="0"/>
        <w:ind w:left="381" w:right="1" w:hanging="10"/>
        <w:jc w:val="center"/>
      </w:pPr>
      <w:r>
        <w:rPr>
          <w:rFonts w:ascii="Arial" w:eastAsia="Arial" w:hAnsi="Arial" w:cs="Arial"/>
        </w:rPr>
        <w:t xml:space="preserve">Офис  „Магистърски програми“ </w:t>
      </w:r>
    </w:p>
    <w:p w:rsidR="00495DF8" w:rsidRDefault="00C472F8">
      <w:pPr>
        <w:spacing w:after="0"/>
        <w:ind w:left="962" w:right="461" w:hanging="10"/>
        <w:jc w:val="center"/>
      </w:pPr>
      <w:r>
        <w:rPr>
          <w:rFonts w:ascii="Arial" w:eastAsia="Arial" w:hAnsi="Arial" w:cs="Arial"/>
        </w:rPr>
        <w:t>Тел. 042/ 699 690; 042/ 699 53</w:t>
      </w:r>
      <w:r>
        <w:rPr>
          <w:rFonts w:ascii="Arial" w:eastAsia="Arial" w:hAnsi="Arial" w:cs="Arial"/>
          <w:lang w:val="en-US"/>
        </w:rPr>
        <w:t>7</w:t>
      </w:r>
      <w:r>
        <w:rPr>
          <w:rFonts w:ascii="Arial" w:eastAsia="Arial" w:hAnsi="Arial" w:cs="Arial"/>
        </w:rPr>
        <w:t xml:space="preserve">; 042/ 699 540  </w:t>
      </w:r>
      <w:r w:rsidRPr="00DC21B7">
        <w:rPr>
          <w:rFonts w:ascii="Arial" w:eastAsia="Times New Roman" w:hAnsi="Arial" w:cs="Arial"/>
          <w:color w:val="0000FF"/>
          <w:u w:val="single" w:color="0000FF"/>
        </w:rPr>
        <w:t>vmfedu@uni-sz.bg</w:t>
      </w:r>
      <w:r w:rsidRPr="00DC21B7">
        <w:rPr>
          <w:rFonts w:ascii="Arial" w:eastAsia="Arial" w:hAnsi="Arial" w:cs="Arial"/>
          <w:sz w:val="20"/>
        </w:rPr>
        <w:t xml:space="preserve"> </w:t>
      </w:r>
    </w:p>
    <w:p w:rsidR="00495DF8" w:rsidRDefault="00C472F8">
      <w:pPr>
        <w:spacing w:after="19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381" w:right="3" w:hanging="10"/>
        <w:jc w:val="center"/>
      </w:pPr>
      <w:r>
        <w:rPr>
          <w:rFonts w:ascii="Arial" w:eastAsia="Arial" w:hAnsi="Arial" w:cs="Arial"/>
        </w:rPr>
        <w:t>Учебната програма е само в задочна форма</w:t>
      </w:r>
      <w:r w:rsidR="00D55E5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</w:t>
      </w:r>
    </w:p>
    <w:p w:rsidR="00495DF8" w:rsidRDefault="007B2DD1">
      <w:pPr>
        <w:spacing w:after="0"/>
        <w:ind w:left="381" w:right="2" w:hanging="10"/>
        <w:jc w:val="center"/>
      </w:pPr>
      <w:r w:rsidRPr="007B2DD1">
        <w:rPr>
          <w:rFonts w:ascii="Arial" w:eastAsia="Arial" w:hAnsi="Arial" w:cs="Arial"/>
        </w:rPr>
        <w:t>Таксата за държавна поръчка е 450 лв., а за платена форма на обучение е 1951,50 лв. на семестър.</w:t>
      </w:r>
      <w:r w:rsidR="00C472F8"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381" w:hanging="10"/>
        <w:jc w:val="center"/>
      </w:pPr>
      <w:r>
        <w:rPr>
          <w:rFonts w:ascii="Arial" w:eastAsia="Arial" w:hAnsi="Arial" w:cs="Arial"/>
        </w:rPr>
        <w:t>Обща</w:t>
      </w:r>
      <w:r w:rsidR="00D55E58"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</w:rPr>
        <w:t xml:space="preserve"> продължителност </w:t>
      </w:r>
      <w:r w:rsidR="00D55E58"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</w:rPr>
        <w:t>2 семестъра (</w:t>
      </w:r>
      <w:r w:rsidR="00D55E58">
        <w:rPr>
          <w:rFonts w:ascii="Arial" w:eastAsia="Arial" w:hAnsi="Arial" w:cs="Arial"/>
        </w:rPr>
        <w:t>1 година</w:t>
      </w:r>
      <w:r>
        <w:rPr>
          <w:rFonts w:ascii="Arial" w:eastAsia="Arial" w:hAnsi="Arial" w:cs="Arial"/>
        </w:rPr>
        <w:t>)</w:t>
      </w:r>
      <w:r w:rsidR="00D55E5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381" w:right="2" w:hanging="10"/>
        <w:jc w:val="center"/>
      </w:pPr>
      <w:r>
        <w:rPr>
          <w:rFonts w:ascii="Arial" w:eastAsia="Arial" w:hAnsi="Arial" w:cs="Arial"/>
        </w:rPr>
        <w:t>Приема</w:t>
      </w:r>
      <w:r w:rsidR="00D55E58">
        <w:rPr>
          <w:rFonts w:ascii="Arial" w:eastAsia="Arial" w:hAnsi="Arial" w:cs="Arial"/>
        </w:rPr>
        <w:t>т се до 15 магистри на семестър.</w:t>
      </w:r>
    </w:p>
    <w:p w:rsidR="00495DF8" w:rsidRDefault="00C472F8">
      <w:pPr>
        <w:spacing w:after="19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381" w:right="3" w:hanging="10"/>
        <w:jc w:val="center"/>
      </w:pPr>
      <w:r>
        <w:rPr>
          <w:rFonts w:ascii="Arial" w:eastAsia="Arial" w:hAnsi="Arial" w:cs="Arial"/>
        </w:rPr>
        <w:t xml:space="preserve">Начало на обучението – ноември, съответната година (по учебен график) </w:t>
      </w:r>
    </w:p>
    <w:p w:rsidR="00495DF8" w:rsidRDefault="00C472F8">
      <w:pPr>
        <w:spacing w:after="0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p w:rsidR="00495DF8" w:rsidRDefault="00C472F8">
      <w:pPr>
        <w:spacing w:after="0"/>
        <w:ind w:left="431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945" w:type="dxa"/>
        <w:tblInd w:w="-360" w:type="dxa"/>
        <w:tblLook w:val="04A0" w:firstRow="1" w:lastRow="0" w:firstColumn="1" w:lastColumn="0" w:noHBand="0" w:noVBand="1"/>
      </w:tblPr>
      <w:tblGrid>
        <w:gridCol w:w="4892"/>
        <w:gridCol w:w="4053"/>
      </w:tblGrid>
      <w:tr w:rsidR="00495DF8">
        <w:trPr>
          <w:trHeight w:val="504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495DF8" w:rsidRDefault="00C472F8">
            <w:r>
              <w:rPr>
                <w:rFonts w:ascii="Arial" w:eastAsia="Arial" w:hAnsi="Arial" w:cs="Arial"/>
                <w:b/>
              </w:rPr>
              <w:t xml:space="preserve">Обучение и надграждащи умения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495DF8"/>
        </w:tc>
      </w:tr>
      <w:tr w:rsidR="00495DF8">
        <w:trPr>
          <w:trHeight w:val="2779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Растителни суровини и храни </w:t>
            </w:r>
          </w:p>
          <w:p w:rsidR="00495DF8" w:rsidRDefault="00C472F8">
            <w:pPr>
              <w:spacing w:after="18"/>
            </w:pPr>
            <w:r>
              <w:rPr>
                <w:rFonts w:ascii="Arial" w:eastAsia="Arial" w:hAnsi="Arial" w:cs="Arial"/>
              </w:rPr>
              <w:t xml:space="preserve">Животински суровини и храни </w:t>
            </w:r>
          </w:p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Води и напитки </w:t>
            </w:r>
          </w:p>
          <w:p w:rsidR="00495DF8" w:rsidRDefault="00C472F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Адитиви и компоненти </w:t>
            </w:r>
          </w:p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Консервиране, съхранение и релизация </w:t>
            </w:r>
          </w:p>
          <w:p w:rsidR="00495DF8" w:rsidRDefault="00C472F8">
            <w:pPr>
              <w:spacing w:after="16"/>
            </w:pPr>
            <w:r>
              <w:rPr>
                <w:rFonts w:ascii="Arial" w:eastAsia="Arial" w:hAnsi="Arial" w:cs="Arial"/>
              </w:rPr>
              <w:t xml:space="preserve">Безопасност, производствена хигиена </w:t>
            </w:r>
          </w:p>
          <w:p w:rsidR="00495DF8" w:rsidRDefault="00C472F8">
            <w:r>
              <w:rPr>
                <w:rFonts w:ascii="Arial" w:eastAsia="Arial" w:hAnsi="Arial" w:cs="Arial"/>
              </w:rPr>
              <w:t xml:space="preserve">Трансграничен контрол </w:t>
            </w:r>
          </w:p>
          <w:p w:rsidR="00495DF8" w:rsidRDefault="00C472F8">
            <w:pPr>
              <w:spacing w:line="274" w:lineRule="auto"/>
              <w:ind w:right="439"/>
            </w:pPr>
            <w:r>
              <w:rPr>
                <w:rFonts w:ascii="Arial" w:eastAsia="Arial" w:hAnsi="Arial" w:cs="Arial"/>
              </w:rPr>
              <w:t xml:space="preserve">Микробиологичен контрол на храни, почва, въздух и вода; </w:t>
            </w:r>
          </w:p>
          <w:p w:rsidR="00495DF8" w:rsidRDefault="00C472F8">
            <w:pPr>
              <w:spacing w:after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550ED7" w:rsidRDefault="00550ED7">
            <w:pPr>
              <w:spacing w:after="14"/>
            </w:pPr>
            <w:bookmarkStart w:id="0" w:name="_GoBack"/>
            <w:bookmarkEnd w:id="0"/>
          </w:p>
          <w:p w:rsidR="00495DF8" w:rsidRDefault="00C472F8">
            <w:r>
              <w:rPr>
                <w:rFonts w:ascii="Arial" w:eastAsia="Arial" w:hAnsi="Arial" w:cs="Arial"/>
                <w:b/>
              </w:rPr>
              <w:t xml:space="preserve">Професионална реализация  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495DF8" w:rsidRDefault="00C472F8">
            <w:r>
              <w:rPr>
                <w:rFonts w:ascii="Arial" w:eastAsia="Arial" w:hAnsi="Arial" w:cs="Arial"/>
              </w:rPr>
              <w:t xml:space="preserve">Разпознаване на заболявания предизвикани от консумация на храни; Създаване, модифициране  и контрол на системите за безопасност; Разработване на проекти за национални и Европейски програми.  Съпоставка на изисквания по действащи регламенти, ISO,  БДС или отраслови норми. </w:t>
            </w:r>
          </w:p>
        </w:tc>
      </w:tr>
    </w:tbl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Държавни и частни лаборатории за анализ и контрол;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Българска агенция по безопасност на храните (БАБХ);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Научни институти и изследователски лаборатории;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Национални и международни организации по безопасност на храните; </w:t>
      </w:r>
    </w:p>
    <w:p w:rsidR="00495DF8" w:rsidRDefault="00C472F8">
      <w:pPr>
        <w:spacing w:after="18"/>
        <w:ind w:left="-5" w:hanging="10"/>
      </w:pPr>
      <w:r>
        <w:rPr>
          <w:rFonts w:ascii="Arial" w:eastAsia="Arial" w:hAnsi="Arial" w:cs="Arial"/>
        </w:rPr>
        <w:t xml:space="preserve">Производствени предприятия от Хранително вкусова промишленост </w:t>
      </w:r>
    </w:p>
    <w:sectPr w:rsidR="00495DF8">
      <w:pgSz w:w="11906" w:h="16838"/>
      <w:pgMar w:top="1440" w:right="2146" w:bottom="1440" w:left="17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8"/>
    <w:rsid w:val="000E43AB"/>
    <w:rsid w:val="00495DF8"/>
    <w:rsid w:val="00550ED7"/>
    <w:rsid w:val="007B2DD1"/>
    <w:rsid w:val="0095420B"/>
    <w:rsid w:val="00C472F8"/>
    <w:rsid w:val="00D55E58"/>
    <w:rsid w:val="00D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6F3"/>
  <w15:docId w15:val="{DF194B90-5C49-4E55-9684-EA5759D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FoodSafety</dc:creator>
  <cp:keywords/>
  <cp:lastModifiedBy>Deyan Stratev</cp:lastModifiedBy>
  <cp:revision>8</cp:revision>
  <dcterms:created xsi:type="dcterms:W3CDTF">2020-07-27T07:54:00Z</dcterms:created>
  <dcterms:modified xsi:type="dcterms:W3CDTF">2022-04-28T06:49:00Z</dcterms:modified>
</cp:coreProperties>
</file>